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CC19" w14:textId="77777777" w:rsidR="00E63666" w:rsidRPr="00AC53AC" w:rsidRDefault="00E63666">
      <w:pPr>
        <w:pStyle w:val="TxBrp1"/>
        <w:jc w:val="center"/>
        <w:rPr>
          <w:rFonts w:ascii="Times New Roman" w:hAnsi="Times New Roman"/>
          <w:b/>
          <w:sz w:val="52"/>
          <w:szCs w:val="52"/>
        </w:rPr>
      </w:pPr>
      <w:bookmarkStart w:id="0" w:name="_GoBack"/>
      <w:bookmarkEnd w:id="0"/>
      <w:r w:rsidRPr="00AC53AC">
        <w:rPr>
          <w:rFonts w:ascii="Times New Roman" w:hAnsi="Times New Roman"/>
          <w:b/>
          <w:sz w:val="52"/>
          <w:szCs w:val="52"/>
        </w:rPr>
        <w:t>LEGAL BULLETIN 1.3</w:t>
      </w:r>
    </w:p>
    <w:p w14:paraId="3B94CC1A" w14:textId="77777777" w:rsidR="00E63666" w:rsidRPr="00AC53AC" w:rsidRDefault="00E63666">
      <w:pPr>
        <w:pStyle w:val="TxBrt4"/>
        <w:tabs>
          <w:tab w:val="left" w:pos="0"/>
          <w:tab w:val="left" w:pos="180"/>
          <w:tab w:val="left" w:pos="2918"/>
        </w:tabs>
        <w:ind w:firstLine="180"/>
        <w:jc w:val="center"/>
        <w:rPr>
          <w:rFonts w:ascii="Times New Roman" w:hAnsi="Times New Roman"/>
          <w:b/>
          <w:sz w:val="36"/>
          <w:szCs w:val="36"/>
        </w:rPr>
      </w:pPr>
      <w:r w:rsidRPr="00AC53AC">
        <w:rPr>
          <w:rFonts w:ascii="Times New Roman" w:hAnsi="Times New Roman"/>
          <w:b/>
          <w:sz w:val="36"/>
          <w:szCs w:val="36"/>
        </w:rPr>
        <w:t>Access to Records: F.O.I.A., Privacy</w:t>
      </w:r>
    </w:p>
    <w:p w14:paraId="3B94CC1B" w14:textId="77777777" w:rsidR="00E63666" w:rsidRPr="00AC53AC" w:rsidRDefault="00E63666">
      <w:pPr>
        <w:tabs>
          <w:tab w:val="left" w:pos="0"/>
          <w:tab w:val="left" w:pos="180"/>
          <w:tab w:val="left" w:pos="2918"/>
        </w:tabs>
        <w:jc w:val="center"/>
        <w:rPr>
          <w:rFonts w:ascii="Times New Roman" w:hAnsi="Times New Roman"/>
          <w:b/>
          <w:sz w:val="34"/>
        </w:rPr>
      </w:pPr>
    </w:p>
    <w:p w14:paraId="3B94CC1C" w14:textId="77777777" w:rsidR="00E63666" w:rsidRPr="00AC53AC" w:rsidRDefault="00411491">
      <w:pPr>
        <w:pStyle w:val="TxBrp1"/>
        <w:rPr>
          <w:rFonts w:ascii="Times New Roman" w:hAnsi="Times New Roman"/>
        </w:rPr>
      </w:pPr>
      <w:r w:rsidRPr="00AC53AC">
        <w:rPr>
          <w:rFonts w:ascii="Times New Roman" w:hAnsi="Times New Roman"/>
        </w:rPr>
        <w:tab/>
      </w:r>
      <w:r w:rsidRPr="00AC53AC">
        <w:rPr>
          <w:rFonts w:ascii="Times New Roman" w:hAnsi="Times New Roman"/>
        </w:rPr>
        <w:tab/>
      </w:r>
      <w:r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r>
      <w:r w:rsidR="00E63666" w:rsidRPr="00AC53AC">
        <w:rPr>
          <w:rFonts w:ascii="Times New Roman" w:hAnsi="Times New Roman"/>
        </w:rPr>
        <w:tab/>
        <w:t>Lewisburg Prison Project Inc.</w:t>
      </w:r>
    </w:p>
    <w:p w14:paraId="3B94CC1D" w14:textId="77777777" w:rsidR="00E63666" w:rsidRPr="00AC53AC" w:rsidRDefault="00E63666">
      <w:pPr>
        <w:pStyle w:val="TxBrp5"/>
        <w:tabs>
          <w:tab w:val="clear" w:pos="0"/>
          <w:tab w:val="clear" w:pos="7062"/>
          <w:tab w:val="left" w:pos="7063"/>
        </w:tabs>
        <w:rPr>
          <w:rFonts w:ascii="Times New Roman" w:hAnsi="Times New Roman"/>
        </w:rPr>
      </w:pPr>
      <w:r w:rsidRPr="00AC53AC">
        <w:rPr>
          <w:rFonts w:ascii="Times New Roman" w:hAnsi="Times New Roman"/>
        </w:rPr>
        <w:t>Bulletin 1.3</w:t>
      </w:r>
      <w:r w:rsidRPr="00AC53AC">
        <w:rPr>
          <w:rFonts w:ascii="Times New Roman" w:hAnsi="Times New Roman"/>
        </w:rPr>
        <w:tab/>
      </w:r>
      <w:r w:rsidRPr="00AC53AC">
        <w:rPr>
          <w:rFonts w:ascii="Times New Roman" w:hAnsi="Times New Roman"/>
        </w:rPr>
        <w:tab/>
        <w:t xml:space="preserve">P. O. Box 128 </w:t>
      </w:r>
    </w:p>
    <w:p w14:paraId="3B94CC1E" w14:textId="77777777" w:rsidR="00E63666" w:rsidRPr="00AC53AC" w:rsidRDefault="00E63666">
      <w:pPr>
        <w:pStyle w:val="TxBrp5"/>
        <w:tabs>
          <w:tab w:val="clear" w:pos="0"/>
          <w:tab w:val="clear" w:pos="7062"/>
          <w:tab w:val="left" w:pos="7063"/>
        </w:tabs>
        <w:rPr>
          <w:rFonts w:ascii="Times New Roman" w:hAnsi="Times New Roman"/>
        </w:rPr>
      </w:pPr>
      <w:r w:rsidRPr="00AC53AC">
        <w:rPr>
          <w:rFonts w:ascii="Times New Roman" w:hAnsi="Times New Roman"/>
        </w:rPr>
        <w:t>Update</w:t>
      </w:r>
      <w:r w:rsidR="0075661C" w:rsidRPr="00AC53AC">
        <w:rPr>
          <w:rFonts w:ascii="Times New Roman" w:hAnsi="Times New Roman"/>
        </w:rPr>
        <w:t xml:space="preserve"> June</w:t>
      </w:r>
      <w:r w:rsidR="00411491" w:rsidRPr="00AC53AC">
        <w:rPr>
          <w:rFonts w:ascii="Times New Roman" w:hAnsi="Times New Roman"/>
        </w:rPr>
        <w:t>, 20</w:t>
      </w:r>
      <w:r w:rsidR="0075661C" w:rsidRPr="00AC53AC">
        <w:rPr>
          <w:rFonts w:ascii="Times New Roman" w:hAnsi="Times New Roman"/>
        </w:rPr>
        <w:t>05</w:t>
      </w:r>
      <w:r w:rsidRPr="00AC53AC">
        <w:rPr>
          <w:rFonts w:ascii="Times New Roman" w:hAnsi="Times New Roman"/>
        </w:rPr>
        <w:tab/>
      </w:r>
      <w:r w:rsidRPr="00AC53AC">
        <w:rPr>
          <w:rFonts w:ascii="Times New Roman" w:hAnsi="Times New Roman"/>
        </w:rPr>
        <w:tab/>
        <w:t>Lewisburg, Pa. 17837</w:t>
      </w:r>
    </w:p>
    <w:p w14:paraId="3B94CC1F" w14:textId="77777777" w:rsidR="00E63666" w:rsidRPr="00AC53AC" w:rsidRDefault="00E63666">
      <w:pPr>
        <w:pStyle w:val="TxBrp5"/>
        <w:tabs>
          <w:tab w:val="clear" w:pos="0"/>
          <w:tab w:val="clear" w:pos="7062"/>
          <w:tab w:val="left" w:pos="7063"/>
        </w:tabs>
        <w:rPr>
          <w:rFonts w:ascii="Times New Roman" w:hAnsi="Times New Roman"/>
          <w:sz w:val="26"/>
        </w:rPr>
      </w:pPr>
      <w:r w:rsidRPr="00AC53AC">
        <w:rPr>
          <w:rFonts w:ascii="Times New Roman" w:hAnsi="Times New Roman"/>
        </w:rPr>
        <w:t>________________________________________________________________________________</w:t>
      </w:r>
    </w:p>
    <w:p w14:paraId="3B94CC20" w14:textId="77777777" w:rsidR="00E63666" w:rsidRPr="00AC53AC" w:rsidRDefault="00E63666">
      <w:pPr>
        <w:pStyle w:val="TxBrc7"/>
        <w:tabs>
          <w:tab w:val="left" w:pos="0"/>
          <w:tab w:val="left" w:pos="204"/>
        </w:tabs>
        <w:rPr>
          <w:rFonts w:ascii="Times New Roman" w:hAnsi="Times New Roman"/>
          <w:b/>
          <w:sz w:val="26"/>
        </w:rPr>
      </w:pPr>
    </w:p>
    <w:p w14:paraId="3B94CC21" w14:textId="77777777" w:rsidR="00E63666" w:rsidRPr="00AC53AC" w:rsidRDefault="00E63666">
      <w:pPr>
        <w:pStyle w:val="TxBrp8"/>
        <w:spacing w:line="240" w:lineRule="auto"/>
        <w:ind w:firstLine="778"/>
        <w:rPr>
          <w:rFonts w:ascii="Times New Roman" w:hAnsi="Times New Roman"/>
          <w:sz w:val="22"/>
          <w:szCs w:val="22"/>
        </w:rPr>
      </w:pPr>
      <w:r w:rsidRPr="00AC53AC">
        <w:rPr>
          <w:rFonts w:ascii="Times New Roman" w:hAnsi="Times New Roman"/>
          <w:sz w:val="22"/>
          <w:szCs w:val="22"/>
        </w:rPr>
        <w:t>This legal bulletin will provide a brief overview of both the Freedom of Information Act</w:t>
      </w:r>
      <w:r w:rsidR="00EF4845" w:rsidRPr="00AC53AC">
        <w:rPr>
          <w:rFonts w:ascii="Times New Roman" w:hAnsi="Times New Roman"/>
          <w:sz w:val="22"/>
          <w:szCs w:val="22"/>
        </w:rPr>
        <w:t xml:space="preserve"> (FOIA)</w:t>
      </w:r>
      <w:r w:rsidRPr="00AC53AC">
        <w:rPr>
          <w:rFonts w:ascii="Times New Roman" w:hAnsi="Times New Roman"/>
          <w:sz w:val="22"/>
          <w:szCs w:val="22"/>
        </w:rPr>
        <w:t xml:space="preserve"> and the Privacy Act of 1974. </w:t>
      </w:r>
      <w:r w:rsidR="00EF4845" w:rsidRPr="00AC53AC">
        <w:rPr>
          <w:rFonts w:ascii="Times New Roman" w:hAnsi="Times New Roman"/>
          <w:sz w:val="22"/>
          <w:szCs w:val="22"/>
        </w:rPr>
        <w:t xml:space="preserve">The original text mat be found in Title 5 of the United States Code, Section </w:t>
      </w:r>
      <w:r w:rsidRPr="00AC53AC">
        <w:rPr>
          <w:rFonts w:ascii="Times New Roman" w:hAnsi="Times New Roman"/>
          <w:sz w:val="22"/>
          <w:szCs w:val="22"/>
        </w:rPr>
        <w:t xml:space="preserve">§552 (FOIA) and §552a (Privacy Act). </w:t>
      </w:r>
    </w:p>
    <w:p w14:paraId="3B94CC22" w14:textId="77777777" w:rsidR="00EF4845" w:rsidRPr="00AC53AC" w:rsidRDefault="00EF4845" w:rsidP="00EF4845">
      <w:pPr>
        <w:pStyle w:val="TxBrp9"/>
        <w:tabs>
          <w:tab w:val="clear" w:pos="0"/>
          <w:tab w:val="left" w:pos="1472"/>
        </w:tabs>
        <w:rPr>
          <w:rFonts w:ascii="Times New Roman" w:hAnsi="Times New Roman"/>
          <w:sz w:val="22"/>
          <w:szCs w:val="22"/>
        </w:rPr>
      </w:pPr>
    </w:p>
    <w:p w14:paraId="3B94CC23" w14:textId="77777777" w:rsidR="00E63666" w:rsidRDefault="00EF4845" w:rsidP="00EF4845">
      <w:pPr>
        <w:pStyle w:val="TxBrp9"/>
        <w:tabs>
          <w:tab w:val="clear" w:pos="0"/>
          <w:tab w:val="left" w:pos="1472"/>
        </w:tabs>
        <w:rPr>
          <w:rFonts w:ascii="Times New Roman" w:hAnsi="Times New Roman"/>
          <w:b/>
          <w:sz w:val="28"/>
          <w:szCs w:val="28"/>
        </w:rPr>
      </w:pPr>
      <w:r w:rsidRPr="00AC53AC">
        <w:rPr>
          <w:rFonts w:ascii="Times New Roman" w:hAnsi="Times New Roman"/>
          <w:b/>
          <w:sz w:val="28"/>
          <w:szCs w:val="28"/>
        </w:rPr>
        <w:t>The Freedom of Information Act (FOIA)</w:t>
      </w:r>
    </w:p>
    <w:p w14:paraId="3B94CC24" w14:textId="77777777" w:rsidR="00AC53AC" w:rsidRPr="00AC53AC" w:rsidRDefault="00AC53AC" w:rsidP="00EF4845">
      <w:pPr>
        <w:pStyle w:val="TxBrp9"/>
        <w:tabs>
          <w:tab w:val="clear" w:pos="0"/>
          <w:tab w:val="left" w:pos="1472"/>
        </w:tabs>
        <w:rPr>
          <w:rFonts w:ascii="Times New Roman" w:hAnsi="Times New Roman"/>
          <w:b/>
          <w:sz w:val="28"/>
          <w:szCs w:val="28"/>
        </w:rPr>
      </w:pPr>
    </w:p>
    <w:p w14:paraId="3B94CC25" w14:textId="77777777" w:rsidR="00E63666" w:rsidRPr="00AC53AC" w:rsidRDefault="00E63666">
      <w:pPr>
        <w:pStyle w:val="TxBrp8"/>
        <w:spacing w:line="240" w:lineRule="auto"/>
        <w:ind w:firstLine="0"/>
        <w:rPr>
          <w:rFonts w:ascii="Times New Roman" w:hAnsi="Times New Roman"/>
          <w:sz w:val="22"/>
          <w:szCs w:val="22"/>
        </w:rPr>
      </w:pPr>
      <w:r w:rsidRPr="00AC53AC">
        <w:rPr>
          <w:rFonts w:ascii="Times New Roman" w:hAnsi="Times New Roman"/>
          <w:szCs w:val="24"/>
        </w:rPr>
        <w:tab/>
      </w:r>
      <w:r w:rsidRPr="00AC53AC">
        <w:rPr>
          <w:rFonts w:ascii="Times New Roman" w:hAnsi="Times New Roman"/>
          <w:sz w:val="22"/>
          <w:szCs w:val="22"/>
        </w:rPr>
        <w:t xml:space="preserve">The </w:t>
      </w:r>
      <w:r w:rsidR="00EF4845" w:rsidRPr="00AC53AC">
        <w:rPr>
          <w:rFonts w:ascii="Times New Roman" w:hAnsi="Times New Roman"/>
          <w:sz w:val="22"/>
          <w:szCs w:val="22"/>
        </w:rPr>
        <w:t xml:space="preserve">FOIA allows public access to the records of federal government agencies including the agencies, office and departments of the executive branch, </w:t>
      </w:r>
      <w:r w:rsidR="00411491" w:rsidRPr="00AC53AC">
        <w:rPr>
          <w:rFonts w:ascii="Times New Roman" w:hAnsi="Times New Roman"/>
          <w:sz w:val="22"/>
          <w:szCs w:val="22"/>
        </w:rPr>
        <w:t>independent</w:t>
      </w:r>
      <w:r w:rsidR="00EF4845" w:rsidRPr="00AC53AC">
        <w:rPr>
          <w:rFonts w:ascii="Times New Roman" w:hAnsi="Times New Roman"/>
          <w:sz w:val="22"/>
          <w:szCs w:val="22"/>
        </w:rPr>
        <w:t xml:space="preserve"> federal regulatory agencies and </w:t>
      </w:r>
      <w:r w:rsidR="00411491" w:rsidRPr="00AC53AC">
        <w:rPr>
          <w:rFonts w:ascii="Times New Roman" w:hAnsi="Times New Roman"/>
          <w:sz w:val="22"/>
          <w:szCs w:val="22"/>
        </w:rPr>
        <w:t>corporations</w:t>
      </w:r>
      <w:r w:rsidR="00EF4845" w:rsidRPr="00AC53AC">
        <w:rPr>
          <w:rFonts w:ascii="Times New Roman" w:hAnsi="Times New Roman"/>
          <w:sz w:val="22"/>
          <w:szCs w:val="22"/>
        </w:rPr>
        <w:t xml:space="preserve"> controlled by the federal government. It does NOT apply to Congress, the Federal Courts, or the executive office staff. </w:t>
      </w:r>
      <w:r w:rsidR="00411491" w:rsidRPr="00AC53AC">
        <w:rPr>
          <w:rFonts w:ascii="Times New Roman" w:hAnsi="Times New Roman"/>
          <w:sz w:val="22"/>
          <w:szCs w:val="22"/>
        </w:rPr>
        <w:t xml:space="preserve">Furthermore, the FOIA only applies to the federal government, although states have enacted similar individual laws. </w:t>
      </w:r>
      <w:r w:rsidR="00EF4845" w:rsidRPr="00AC53AC">
        <w:rPr>
          <w:rFonts w:ascii="Times New Roman" w:hAnsi="Times New Roman"/>
          <w:sz w:val="22"/>
          <w:szCs w:val="22"/>
        </w:rPr>
        <w:t>In Pennsylvania, the state counterpart of the federal FOIA is called the Right-</w:t>
      </w:r>
      <w:r w:rsidR="00411491" w:rsidRPr="00AC53AC">
        <w:rPr>
          <w:rFonts w:ascii="Times New Roman" w:hAnsi="Times New Roman"/>
          <w:sz w:val="22"/>
          <w:szCs w:val="22"/>
        </w:rPr>
        <w:t>to-Know</w:t>
      </w:r>
      <w:r w:rsidR="00EF4845" w:rsidRPr="00AC53AC">
        <w:rPr>
          <w:rFonts w:ascii="Times New Roman" w:hAnsi="Times New Roman"/>
          <w:sz w:val="22"/>
          <w:szCs w:val="22"/>
        </w:rPr>
        <w:t xml:space="preserve"> Law. </w:t>
      </w:r>
      <w:r w:rsidRPr="00AC53AC">
        <w:rPr>
          <w:rFonts w:ascii="Times New Roman" w:hAnsi="Times New Roman"/>
          <w:sz w:val="22"/>
          <w:szCs w:val="22"/>
        </w:rPr>
        <w:t xml:space="preserve"> </w:t>
      </w:r>
    </w:p>
    <w:p w14:paraId="3B94CC26" w14:textId="77777777" w:rsidR="00EF4845" w:rsidRPr="00AC53AC" w:rsidRDefault="00EF4845">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 Note: Michigan, Louisiana, Texas, Wisconsin, Virginia, New Jersey, </w:t>
      </w:r>
      <w:r w:rsidR="00411491" w:rsidRPr="00AC53AC">
        <w:rPr>
          <w:rFonts w:ascii="Times New Roman" w:hAnsi="Times New Roman"/>
          <w:sz w:val="22"/>
          <w:szCs w:val="22"/>
        </w:rPr>
        <w:t>Connecticut</w:t>
      </w:r>
      <w:r w:rsidRPr="00AC53AC">
        <w:rPr>
          <w:rFonts w:ascii="Times New Roman" w:hAnsi="Times New Roman"/>
          <w:sz w:val="22"/>
          <w:szCs w:val="22"/>
        </w:rPr>
        <w:t xml:space="preserve"> and Ohio have all enacted statutes </w:t>
      </w:r>
      <w:r w:rsidRPr="00AC53AC">
        <w:rPr>
          <w:rFonts w:ascii="Times New Roman" w:hAnsi="Times New Roman"/>
          <w:i/>
          <w:sz w:val="22"/>
          <w:szCs w:val="22"/>
        </w:rPr>
        <w:t>limiting</w:t>
      </w:r>
      <w:r w:rsidRPr="00AC53AC">
        <w:rPr>
          <w:rFonts w:ascii="Times New Roman" w:hAnsi="Times New Roman"/>
          <w:sz w:val="22"/>
          <w:szCs w:val="22"/>
        </w:rPr>
        <w:t xml:space="preserve"> prisoners’ access to records. </w:t>
      </w:r>
    </w:p>
    <w:p w14:paraId="3B94CC27" w14:textId="77777777" w:rsidR="00EF4845" w:rsidRPr="00AC53AC" w:rsidRDefault="00EF4845">
      <w:pPr>
        <w:pStyle w:val="TxBrp8"/>
        <w:spacing w:line="240" w:lineRule="auto"/>
        <w:ind w:firstLine="0"/>
        <w:rPr>
          <w:rFonts w:ascii="Times New Roman" w:hAnsi="Times New Roman"/>
          <w:sz w:val="22"/>
          <w:szCs w:val="22"/>
        </w:rPr>
      </w:pPr>
    </w:p>
    <w:p w14:paraId="3B94CC28" w14:textId="77777777" w:rsidR="00EF4845" w:rsidRPr="00AC53AC" w:rsidRDefault="00EF4845">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Generally, the FOIA deals with requests for two types of information. An individual can gain access to records about the agency itself as well as records the agency may have regarding individuals. </w:t>
      </w:r>
    </w:p>
    <w:p w14:paraId="3B94CC29" w14:textId="77777777" w:rsidR="00EF4845" w:rsidRPr="00AC53AC" w:rsidRDefault="00EF4845">
      <w:pPr>
        <w:pStyle w:val="TxBrp8"/>
        <w:spacing w:line="240" w:lineRule="auto"/>
        <w:ind w:firstLine="0"/>
        <w:rPr>
          <w:rFonts w:ascii="Times New Roman" w:hAnsi="Times New Roman"/>
          <w:sz w:val="22"/>
          <w:szCs w:val="22"/>
        </w:rPr>
      </w:pPr>
    </w:p>
    <w:p w14:paraId="3B94CC2A" w14:textId="77777777" w:rsidR="00AC53AC" w:rsidRPr="00AC53AC" w:rsidRDefault="00E63666" w:rsidP="00EA666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u w:val="single"/>
        </w:rPr>
      </w:pPr>
      <w:r w:rsidRPr="00AC53AC">
        <w:rPr>
          <w:rFonts w:ascii="Times New Roman" w:hAnsi="Times New Roman"/>
          <w:sz w:val="22"/>
          <w:szCs w:val="22"/>
          <w:u w:val="single"/>
        </w:rPr>
        <w:t>Exemptions</w:t>
      </w:r>
      <w:r w:rsidR="00AC53AC" w:rsidRPr="00AC53AC">
        <w:rPr>
          <w:rFonts w:ascii="Times New Roman" w:hAnsi="Times New Roman"/>
          <w:sz w:val="22"/>
          <w:szCs w:val="22"/>
          <w:u w:val="single"/>
        </w:rPr>
        <w:t>:</w:t>
      </w:r>
    </w:p>
    <w:p w14:paraId="3B94CC2B" w14:textId="77777777" w:rsidR="00E63666" w:rsidRPr="00AC53AC" w:rsidRDefault="00EF4845" w:rsidP="00AC53AC">
      <w:pPr>
        <w:pStyle w:val="TxBrp10"/>
        <w:tabs>
          <w:tab w:val="clear" w:pos="0"/>
          <w:tab w:val="clear" w:pos="186"/>
          <w:tab w:val="clear" w:pos="1467"/>
          <w:tab w:val="left" w:pos="187"/>
          <w:tab w:val="left" w:pos="373"/>
          <w:tab w:val="left" w:pos="1654"/>
        </w:tabs>
        <w:spacing w:line="240" w:lineRule="auto"/>
        <w:ind w:left="270" w:firstLine="0"/>
        <w:rPr>
          <w:rFonts w:ascii="Times New Roman" w:hAnsi="Times New Roman"/>
          <w:sz w:val="22"/>
          <w:szCs w:val="22"/>
        </w:rPr>
      </w:pPr>
      <w:r w:rsidRPr="00AC53AC">
        <w:rPr>
          <w:rFonts w:ascii="Times New Roman" w:hAnsi="Times New Roman"/>
          <w:sz w:val="22"/>
          <w:szCs w:val="22"/>
        </w:rPr>
        <w:t xml:space="preserve"> </w:t>
      </w:r>
    </w:p>
    <w:p w14:paraId="3B94CC2C" w14:textId="77777777" w:rsidR="00EF4845" w:rsidRPr="00AC53AC" w:rsidRDefault="00EF4845" w:rsidP="00EA6669">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The following types of information do NOT have to be disclosed </w:t>
      </w:r>
      <w:r w:rsidR="00411491" w:rsidRPr="00AC53AC">
        <w:rPr>
          <w:rFonts w:ascii="Times New Roman" w:hAnsi="Times New Roman"/>
          <w:sz w:val="22"/>
          <w:szCs w:val="22"/>
        </w:rPr>
        <w:t>under</w:t>
      </w:r>
      <w:r w:rsidRPr="00AC53AC">
        <w:rPr>
          <w:rFonts w:ascii="Times New Roman" w:hAnsi="Times New Roman"/>
          <w:sz w:val="22"/>
          <w:szCs w:val="22"/>
        </w:rPr>
        <w:t xml:space="preserve"> the FOIA:</w:t>
      </w:r>
    </w:p>
    <w:p w14:paraId="3B94CC2D" w14:textId="77777777" w:rsidR="00EF4845" w:rsidRPr="00AC53AC" w:rsidRDefault="00EF4845" w:rsidP="00EF4845">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National </w:t>
      </w:r>
      <w:r w:rsidR="00411491" w:rsidRPr="00AC53AC">
        <w:rPr>
          <w:rFonts w:ascii="Times New Roman" w:hAnsi="Times New Roman"/>
          <w:sz w:val="22"/>
          <w:szCs w:val="22"/>
        </w:rPr>
        <w:t>Security</w:t>
      </w:r>
    </w:p>
    <w:p w14:paraId="3B94CC2E" w14:textId="77777777" w:rsidR="00EF4845" w:rsidRPr="00AC53AC" w:rsidRDefault="00EF4845" w:rsidP="00EF4845">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Internal rules and practices of the agency</w:t>
      </w:r>
    </w:p>
    <w:p w14:paraId="3B94CC2F" w14:textId="77777777" w:rsidR="00EF4845" w:rsidRPr="00AC53AC" w:rsidRDefault="00EF4845" w:rsidP="00EF4845">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Information exempted under another statute</w:t>
      </w:r>
    </w:p>
    <w:p w14:paraId="3B94CC30" w14:textId="77777777" w:rsidR="00EF4845" w:rsidRPr="00AC53AC" w:rsidRDefault="00EF4845" w:rsidP="00EF4845">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Business information relating to trade secrets or privileged/confidential information (the exemption only applies to information from a person or corporation, not from a government agency)</w:t>
      </w:r>
    </w:p>
    <w:p w14:paraId="3B94CC31" w14:textId="77777777" w:rsidR="00EF4845" w:rsidRPr="00AC53AC" w:rsidRDefault="00EF4845" w:rsidP="00EF4845">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Internal government memos (this includes confidential information between clients and attorneys as well as work-product or any information compiled in preparation for a trial)</w:t>
      </w:r>
    </w:p>
    <w:p w14:paraId="3B94CC32" w14:textId="77777777" w:rsidR="00EF4845" w:rsidRPr="00AC53AC" w:rsidRDefault="00EF4845" w:rsidP="00EF4845">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Private matters that if released would be an invasion of personal privacy (this includes personnel and medical files)</w:t>
      </w:r>
    </w:p>
    <w:p w14:paraId="3B94CC33" w14:textId="77777777" w:rsidR="00EF4845" w:rsidRPr="00AC53AC" w:rsidRDefault="00EF4845" w:rsidP="00EF4845">
      <w:pPr>
        <w:pStyle w:val="TxBrp10"/>
        <w:numPr>
          <w:ilvl w:val="1"/>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Must constitute a “clearly unwarranted invasion”</w:t>
      </w:r>
    </w:p>
    <w:p w14:paraId="3B94CC34" w14:textId="77777777" w:rsidR="00EF4845" w:rsidRPr="00AC53AC" w:rsidRDefault="00EF4845" w:rsidP="00EF4845">
      <w:pPr>
        <w:pStyle w:val="TxBrp10"/>
        <w:numPr>
          <w:ilvl w:val="1"/>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Only applies to individuals and not to corporations</w:t>
      </w:r>
    </w:p>
    <w:p w14:paraId="3B94CC35" w14:textId="77777777" w:rsidR="006D7CC9" w:rsidRPr="00AC53AC" w:rsidRDefault="006D7CC9" w:rsidP="00EF4845">
      <w:pPr>
        <w:pStyle w:val="TxBrp10"/>
        <w:numPr>
          <w:ilvl w:val="1"/>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In considering whether or not to disclose the information, the agency will balance the public’s right to know against the personal right to privacy. The FOIA favors disclosure. </w:t>
      </w:r>
    </w:p>
    <w:p w14:paraId="3B94CC36" w14:textId="77777777" w:rsidR="006D7CC9" w:rsidRPr="00AC53AC" w:rsidRDefault="006D7CC9" w:rsidP="006D7CC9">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Law enforcement investigation materials (Usually all FBI files)</w:t>
      </w:r>
    </w:p>
    <w:p w14:paraId="3B94CC37" w14:textId="77777777" w:rsidR="006D7CC9" w:rsidRPr="00AC53AC" w:rsidRDefault="00411491" w:rsidP="006D7CC9">
      <w:pPr>
        <w:pStyle w:val="TxBrp10"/>
        <w:numPr>
          <w:ilvl w:val="1"/>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In order not to disclose information under this exemption, the agency must show that releasing the information would interfere with enforcement proceedings, deprive an individual of the right to a fair trials or impartial jury, constitute an unwarranted invasion of privacy, reveal the identity of a confidential course, disclose investigative techniques, or endanger the life and safety of an individual. </w:t>
      </w:r>
    </w:p>
    <w:p w14:paraId="3B94CC38" w14:textId="77777777" w:rsidR="006D7CC9" w:rsidRPr="00AC53AC" w:rsidRDefault="006D7CC9" w:rsidP="006D7CC9">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Records relating to the regulation of financial institutions. </w:t>
      </w:r>
    </w:p>
    <w:p w14:paraId="3B94CC39" w14:textId="77777777" w:rsidR="006D7CC9" w:rsidRPr="00AC53AC" w:rsidRDefault="006D7CC9" w:rsidP="006D7CC9">
      <w:pPr>
        <w:pStyle w:val="TxBrp10"/>
        <w:numPr>
          <w:ilvl w:val="0"/>
          <w:numId w:val="1"/>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Geological/geophysical information regarding oil well locations. </w:t>
      </w:r>
    </w:p>
    <w:p w14:paraId="3B94CC3A" w14:textId="77777777" w:rsidR="006D7CC9" w:rsidRPr="00AC53AC" w:rsidRDefault="006D7CC9" w:rsidP="006D7CC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3B" w14:textId="77777777" w:rsidR="006D7CC9" w:rsidRPr="00AC53AC" w:rsidRDefault="006D7CC9"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However, even if portions of a record are exempt under the FOIA, the nonexempt sections must be disclosed if they are “reasonably segregable” from the rest of the file. </w:t>
      </w:r>
    </w:p>
    <w:p w14:paraId="3B94CC3C" w14:textId="77777777" w:rsidR="006D7CC9" w:rsidRPr="00AC53AC" w:rsidRDefault="006D7CC9" w:rsidP="00CF30BB">
      <w:pPr>
        <w:pStyle w:val="TxBrp8"/>
        <w:spacing w:line="240" w:lineRule="auto"/>
        <w:ind w:firstLine="0"/>
        <w:rPr>
          <w:rFonts w:ascii="Times New Roman" w:hAnsi="Times New Roman"/>
          <w:sz w:val="22"/>
          <w:szCs w:val="22"/>
        </w:rPr>
      </w:pPr>
    </w:p>
    <w:p w14:paraId="3B94CC3D" w14:textId="77777777" w:rsidR="006D7CC9" w:rsidRPr="00AC53AC" w:rsidRDefault="006D7CC9"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lastRenderedPageBreak/>
        <w:tab/>
        <w:t xml:space="preserve">Additionally, in order for a file to be disclosed, the record must already exist and be in possession and control of a particular agency. </w:t>
      </w:r>
    </w:p>
    <w:p w14:paraId="3B94CC3E" w14:textId="77777777" w:rsidR="006D7CC9" w:rsidRPr="00AC53AC" w:rsidRDefault="006D7CC9" w:rsidP="006D7CC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3F" w14:textId="77777777" w:rsidR="006D7CC9" w:rsidRPr="00AC53AC" w:rsidRDefault="006D7CC9" w:rsidP="006D7CC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u w:val="single"/>
        </w:rPr>
      </w:pPr>
      <w:r w:rsidRPr="00AC53AC">
        <w:rPr>
          <w:rFonts w:ascii="Times New Roman" w:hAnsi="Times New Roman"/>
          <w:sz w:val="22"/>
          <w:szCs w:val="22"/>
          <w:u w:val="single"/>
        </w:rPr>
        <w:t>1986 Amendments</w:t>
      </w:r>
    </w:p>
    <w:p w14:paraId="3B94CC40" w14:textId="77777777" w:rsidR="006D7CC9" w:rsidRPr="00AC53AC" w:rsidRDefault="006D7CC9"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Amendments made to the FOIA in 1986 specify three instances when an agency does not have to disclose even the existence of a file because the </w:t>
      </w:r>
      <w:r w:rsidR="00411491" w:rsidRPr="00AC53AC">
        <w:rPr>
          <w:rFonts w:ascii="Times New Roman" w:hAnsi="Times New Roman"/>
          <w:sz w:val="22"/>
          <w:szCs w:val="22"/>
        </w:rPr>
        <w:t>knowledge</w:t>
      </w:r>
      <w:r w:rsidRPr="00AC53AC">
        <w:rPr>
          <w:rFonts w:ascii="Times New Roman" w:hAnsi="Times New Roman"/>
          <w:sz w:val="22"/>
          <w:szCs w:val="22"/>
        </w:rPr>
        <w:t xml:space="preserve"> of its existence would have the same damaging effect of </w:t>
      </w:r>
      <w:r w:rsidR="00411491" w:rsidRPr="00AC53AC">
        <w:rPr>
          <w:rFonts w:ascii="Times New Roman" w:hAnsi="Times New Roman"/>
          <w:sz w:val="22"/>
          <w:szCs w:val="22"/>
        </w:rPr>
        <w:t>disclosing</w:t>
      </w:r>
      <w:r w:rsidRPr="00AC53AC">
        <w:rPr>
          <w:rFonts w:ascii="Times New Roman" w:hAnsi="Times New Roman"/>
          <w:sz w:val="22"/>
          <w:szCs w:val="22"/>
        </w:rPr>
        <w:t xml:space="preserve"> the actual records. These records include:</w:t>
      </w:r>
    </w:p>
    <w:p w14:paraId="3B94CC41" w14:textId="77777777" w:rsidR="006D7CC9" w:rsidRPr="00AC53AC" w:rsidRDefault="006D7CC9" w:rsidP="006D7CC9">
      <w:pPr>
        <w:pStyle w:val="TxBrp10"/>
        <w:numPr>
          <w:ilvl w:val="0"/>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Files that, if their existence was disclosed, would interfere with a current law enforcement investigation.</w:t>
      </w:r>
    </w:p>
    <w:p w14:paraId="3B94CC42" w14:textId="77777777" w:rsidR="006D7CC9" w:rsidRPr="00AC53AC" w:rsidRDefault="006D7CC9" w:rsidP="006D7CC9">
      <w:pPr>
        <w:pStyle w:val="TxBrp10"/>
        <w:numPr>
          <w:ilvl w:val="1"/>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The agency must be able to prove that:</w:t>
      </w:r>
    </w:p>
    <w:p w14:paraId="3B94CC43" w14:textId="77777777" w:rsidR="006D7CC9" w:rsidRPr="00AC53AC" w:rsidRDefault="006D7CC9" w:rsidP="006D7CC9">
      <w:pPr>
        <w:pStyle w:val="TxBrp10"/>
        <w:numPr>
          <w:ilvl w:val="2"/>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The investigation involves a possible violation of criminal law</w:t>
      </w:r>
    </w:p>
    <w:p w14:paraId="3B94CC44" w14:textId="77777777" w:rsidR="006D7CC9" w:rsidRPr="00AC53AC" w:rsidRDefault="006D7CC9" w:rsidP="006D7CC9">
      <w:pPr>
        <w:pStyle w:val="TxBrp10"/>
        <w:numPr>
          <w:ilvl w:val="2"/>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There is a reason to believe the subject of the investigation is unaware the investigation is underway</w:t>
      </w:r>
      <w:r w:rsidR="001E1CEF" w:rsidRPr="00AC53AC">
        <w:rPr>
          <w:rFonts w:ascii="Times New Roman" w:hAnsi="Times New Roman"/>
          <w:sz w:val="22"/>
          <w:szCs w:val="22"/>
        </w:rPr>
        <w:t>.</w:t>
      </w:r>
    </w:p>
    <w:p w14:paraId="3B94CC45" w14:textId="77777777" w:rsidR="006D7CC9" w:rsidRPr="00AC53AC" w:rsidRDefault="006D7CC9" w:rsidP="006D7CC9">
      <w:pPr>
        <w:pStyle w:val="TxBrp10"/>
        <w:numPr>
          <w:ilvl w:val="2"/>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The </w:t>
      </w:r>
      <w:r w:rsidR="00411491" w:rsidRPr="00AC53AC">
        <w:rPr>
          <w:rFonts w:ascii="Times New Roman" w:hAnsi="Times New Roman"/>
          <w:sz w:val="22"/>
          <w:szCs w:val="22"/>
        </w:rPr>
        <w:t>disclosure</w:t>
      </w:r>
      <w:r w:rsidRPr="00AC53AC">
        <w:rPr>
          <w:rFonts w:ascii="Times New Roman" w:hAnsi="Times New Roman"/>
          <w:sz w:val="22"/>
          <w:szCs w:val="22"/>
        </w:rPr>
        <w:t xml:space="preserve"> of the file’s existence would interfere with proceedings.</w:t>
      </w:r>
    </w:p>
    <w:p w14:paraId="3B94CC46" w14:textId="77777777" w:rsidR="006D7CC9" w:rsidRPr="00AC53AC" w:rsidRDefault="00411491" w:rsidP="006D7CC9">
      <w:pPr>
        <w:pStyle w:val="TxBrp10"/>
        <w:numPr>
          <w:ilvl w:val="0"/>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Informant</w:t>
      </w:r>
      <w:r w:rsidR="006D7CC9" w:rsidRPr="00AC53AC">
        <w:rPr>
          <w:rFonts w:ascii="Times New Roman" w:hAnsi="Times New Roman"/>
          <w:sz w:val="22"/>
          <w:szCs w:val="22"/>
        </w:rPr>
        <w:t xml:space="preserve"> records filed under the </w:t>
      </w:r>
      <w:r w:rsidRPr="00AC53AC">
        <w:rPr>
          <w:rFonts w:ascii="Times New Roman" w:hAnsi="Times New Roman"/>
          <w:sz w:val="22"/>
          <w:szCs w:val="22"/>
        </w:rPr>
        <w:t>informant’s</w:t>
      </w:r>
      <w:r w:rsidR="006D7CC9" w:rsidRPr="00AC53AC">
        <w:rPr>
          <w:rFonts w:ascii="Times New Roman" w:hAnsi="Times New Roman"/>
          <w:sz w:val="22"/>
          <w:szCs w:val="22"/>
        </w:rPr>
        <w:t xml:space="preserve"> name or identifier unless the informant’s status has already been officially confirmed.</w:t>
      </w:r>
    </w:p>
    <w:p w14:paraId="3B94CC47" w14:textId="77777777" w:rsidR="001E1CEF" w:rsidRPr="00AC53AC" w:rsidRDefault="001E1CEF" w:rsidP="001E1CEF">
      <w:pPr>
        <w:pStyle w:val="TxBrp10"/>
        <w:numPr>
          <w:ilvl w:val="0"/>
          <w:numId w:val="2"/>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FBI </w:t>
      </w:r>
      <w:r w:rsidR="00411491" w:rsidRPr="00AC53AC">
        <w:rPr>
          <w:rFonts w:ascii="Times New Roman" w:hAnsi="Times New Roman"/>
          <w:sz w:val="22"/>
          <w:szCs w:val="22"/>
        </w:rPr>
        <w:t>classified</w:t>
      </w:r>
      <w:r w:rsidRPr="00AC53AC">
        <w:rPr>
          <w:rFonts w:ascii="Times New Roman" w:hAnsi="Times New Roman"/>
          <w:sz w:val="22"/>
          <w:szCs w:val="22"/>
        </w:rPr>
        <w:t xml:space="preserve"> files concerning foreign intelligence, counterintelligence, or </w:t>
      </w:r>
      <w:r w:rsidR="00411491" w:rsidRPr="00AC53AC">
        <w:rPr>
          <w:rFonts w:ascii="Times New Roman" w:hAnsi="Times New Roman"/>
          <w:sz w:val="22"/>
          <w:szCs w:val="22"/>
        </w:rPr>
        <w:t>international</w:t>
      </w:r>
      <w:r w:rsidRPr="00AC53AC">
        <w:rPr>
          <w:rFonts w:ascii="Times New Roman" w:hAnsi="Times New Roman"/>
          <w:sz w:val="22"/>
          <w:szCs w:val="22"/>
        </w:rPr>
        <w:t xml:space="preserve"> terrorism (only applies when both the records and their existence are classified).</w:t>
      </w:r>
    </w:p>
    <w:p w14:paraId="3B94CC48" w14:textId="77777777" w:rsidR="001E1CEF" w:rsidRPr="00AC53AC" w:rsidRDefault="001E1CEF" w:rsidP="001E1CEF">
      <w:pPr>
        <w:pStyle w:val="TxBrp10"/>
        <w:tabs>
          <w:tab w:val="clear" w:pos="0"/>
          <w:tab w:val="clear" w:pos="186"/>
          <w:tab w:val="clear" w:pos="1467"/>
          <w:tab w:val="left" w:pos="187"/>
          <w:tab w:val="left" w:pos="373"/>
          <w:tab w:val="left" w:pos="1654"/>
        </w:tabs>
        <w:spacing w:line="240" w:lineRule="auto"/>
        <w:ind w:left="180" w:firstLine="0"/>
        <w:rPr>
          <w:rFonts w:ascii="Times New Roman" w:hAnsi="Times New Roman"/>
          <w:sz w:val="22"/>
          <w:szCs w:val="22"/>
        </w:rPr>
      </w:pPr>
    </w:p>
    <w:p w14:paraId="3B94CC49" w14:textId="77777777" w:rsidR="001E1CEF" w:rsidRDefault="001E1CEF" w:rsidP="00EA666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r w:rsidRPr="00AC53AC">
        <w:rPr>
          <w:rFonts w:ascii="Times New Roman" w:hAnsi="Times New Roman"/>
          <w:b/>
          <w:sz w:val="28"/>
          <w:szCs w:val="28"/>
        </w:rPr>
        <w:t>The Privacy Act of 1974</w:t>
      </w:r>
    </w:p>
    <w:p w14:paraId="3B94CC4A" w14:textId="77777777" w:rsidR="00233B50" w:rsidRPr="00AC53AC" w:rsidRDefault="00233B50" w:rsidP="00EA666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p>
    <w:p w14:paraId="3B94CC4B" w14:textId="77777777" w:rsidR="001E1CEF" w:rsidRPr="00AC53AC" w:rsidRDefault="00CF30BB" w:rsidP="00CF30BB">
      <w:pPr>
        <w:pStyle w:val="TxBrp8"/>
        <w:spacing w:line="240" w:lineRule="auto"/>
        <w:ind w:firstLine="0"/>
        <w:rPr>
          <w:rFonts w:ascii="Times New Roman" w:hAnsi="Times New Roman"/>
          <w:sz w:val="22"/>
          <w:szCs w:val="22"/>
        </w:rPr>
      </w:pPr>
      <w:r w:rsidRPr="00AC53AC">
        <w:rPr>
          <w:rFonts w:ascii="Times New Roman" w:hAnsi="Times New Roman"/>
          <w:szCs w:val="24"/>
        </w:rPr>
        <w:tab/>
      </w:r>
      <w:r w:rsidR="001E1CEF" w:rsidRPr="00AC53AC">
        <w:rPr>
          <w:rFonts w:ascii="Times New Roman" w:hAnsi="Times New Roman"/>
          <w:sz w:val="22"/>
          <w:szCs w:val="22"/>
        </w:rPr>
        <w:t xml:space="preserve">The Privacy Act is similar to the FOIA, though there are some important differences. Under the Privacy Act, an </w:t>
      </w:r>
      <w:r w:rsidR="00411491" w:rsidRPr="00AC53AC">
        <w:rPr>
          <w:rFonts w:ascii="Times New Roman" w:hAnsi="Times New Roman"/>
          <w:sz w:val="22"/>
          <w:szCs w:val="22"/>
        </w:rPr>
        <w:t>individual can</w:t>
      </w:r>
      <w:r w:rsidR="001E1CEF" w:rsidRPr="00AC53AC">
        <w:rPr>
          <w:rFonts w:ascii="Times New Roman" w:hAnsi="Times New Roman"/>
          <w:sz w:val="22"/>
          <w:szCs w:val="22"/>
        </w:rPr>
        <w:t xml:space="preserve"> obtain his or her own records and can also amend, correct, or delete false information within those records. Only U.S. citizens or permanent resident aliens can access files through the Privacy Act. In addition, only records kept in a “system of records” can be obtained. A “system of records” refers to a group of records from which information is retrieved by an individual’s name, social security number, or other </w:t>
      </w:r>
      <w:r w:rsidR="00411491" w:rsidRPr="00AC53AC">
        <w:rPr>
          <w:rFonts w:ascii="Times New Roman" w:hAnsi="Times New Roman"/>
          <w:sz w:val="22"/>
          <w:szCs w:val="22"/>
        </w:rPr>
        <w:t>indentifying</w:t>
      </w:r>
      <w:r w:rsidR="001E1CEF" w:rsidRPr="00AC53AC">
        <w:rPr>
          <w:rFonts w:ascii="Times New Roman" w:hAnsi="Times New Roman"/>
          <w:sz w:val="22"/>
          <w:szCs w:val="22"/>
        </w:rPr>
        <w:t xml:space="preserve"> symbol. </w:t>
      </w:r>
    </w:p>
    <w:p w14:paraId="3B94CC4C" w14:textId="77777777" w:rsidR="001E1CEF" w:rsidRPr="00AC53AC" w:rsidRDefault="001E1CEF" w:rsidP="00CF30BB">
      <w:pPr>
        <w:pStyle w:val="TxBrp8"/>
        <w:spacing w:line="240" w:lineRule="auto"/>
        <w:ind w:firstLine="0"/>
        <w:rPr>
          <w:rFonts w:ascii="Times New Roman" w:hAnsi="Times New Roman"/>
          <w:sz w:val="22"/>
          <w:szCs w:val="22"/>
        </w:rPr>
      </w:pPr>
    </w:p>
    <w:p w14:paraId="3B94CC4D" w14:textId="77777777" w:rsidR="001E1CEF" w:rsidRPr="00AC53AC" w:rsidRDefault="001E1CEF"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When requesting records, you should file under both the FOIA and the Privacy Act. Records that cannot be disclosed under the Privacy Act may be releasable under the FOIA.</w:t>
      </w:r>
    </w:p>
    <w:p w14:paraId="3B94CC4E" w14:textId="77777777" w:rsidR="001E1CEF" w:rsidRPr="00AC53AC" w:rsidRDefault="001E1CEF" w:rsidP="001E1CEF">
      <w:pPr>
        <w:pStyle w:val="TxBrp10"/>
        <w:tabs>
          <w:tab w:val="clear" w:pos="0"/>
          <w:tab w:val="clear" w:pos="186"/>
          <w:tab w:val="clear" w:pos="1467"/>
          <w:tab w:val="left" w:pos="187"/>
          <w:tab w:val="left" w:pos="373"/>
          <w:tab w:val="left" w:pos="1654"/>
        </w:tabs>
        <w:spacing w:line="240" w:lineRule="auto"/>
        <w:ind w:left="180" w:firstLine="0"/>
        <w:rPr>
          <w:rFonts w:ascii="Times New Roman" w:hAnsi="Times New Roman"/>
          <w:sz w:val="22"/>
          <w:szCs w:val="22"/>
        </w:rPr>
      </w:pPr>
    </w:p>
    <w:p w14:paraId="3B94CC4F" w14:textId="77777777" w:rsidR="001E1CEF" w:rsidRDefault="001E1CEF" w:rsidP="00EA666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r w:rsidRPr="00AC53AC">
        <w:rPr>
          <w:rFonts w:ascii="Times New Roman" w:hAnsi="Times New Roman"/>
          <w:b/>
          <w:sz w:val="28"/>
          <w:szCs w:val="28"/>
        </w:rPr>
        <w:t>Making a Request</w:t>
      </w:r>
    </w:p>
    <w:p w14:paraId="3B94CC50" w14:textId="77777777" w:rsidR="00233B50" w:rsidRPr="00AC53AC" w:rsidRDefault="00233B50" w:rsidP="00EA6669">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p>
    <w:p w14:paraId="3B94CC51" w14:textId="77777777" w:rsidR="001E1CEF" w:rsidRPr="00AC53AC" w:rsidRDefault="001E1CEF" w:rsidP="00CF30BB">
      <w:pPr>
        <w:pStyle w:val="TxBrp8"/>
        <w:spacing w:line="240" w:lineRule="auto"/>
        <w:ind w:firstLine="0"/>
        <w:rPr>
          <w:rFonts w:ascii="Times New Roman" w:hAnsi="Times New Roman"/>
          <w:sz w:val="22"/>
          <w:szCs w:val="22"/>
        </w:rPr>
      </w:pPr>
      <w:r w:rsidRPr="00AC53AC">
        <w:rPr>
          <w:rFonts w:ascii="Times New Roman" w:hAnsi="Times New Roman"/>
          <w:b/>
          <w:szCs w:val="24"/>
        </w:rPr>
        <w:tab/>
      </w:r>
      <w:r w:rsidRPr="00AC53AC">
        <w:rPr>
          <w:rFonts w:ascii="Times New Roman" w:hAnsi="Times New Roman"/>
          <w:sz w:val="22"/>
          <w:szCs w:val="22"/>
        </w:rPr>
        <w:t>The following steps should be used when making a request for records under the FOIA and Privacy Act:</w:t>
      </w:r>
    </w:p>
    <w:p w14:paraId="3B94CC52" w14:textId="77777777" w:rsidR="001E1CEF" w:rsidRPr="00AC53AC" w:rsidRDefault="001E1CEF" w:rsidP="001E1CEF">
      <w:pPr>
        <w:pStyle w:val="TxBrp10"/>
        <w:numPr>
          <w:ilvl w:val="0"/>
          <w:numId w:val="4"/>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Find the proper agency that can satisfy your request. You can look up the </w:t>
      </w:r>
      <w:r w:rsidR="00411491" w:rsidRPr="00AC53AC">
        <w:rPr>
          <w:rFonts w:ascii="Times New Roman" w:hAnsi="Times New Roman"/>
          <w:sz w:val="22"/>
          <w:szCs w:val="22"/>
        </w:rPr>
        <w:t>office</w:t>
      </w:r>
      <w:r w:rsidRPr="00AC53AC">
        <w:rPr>
          <w:rFonts w:ascii="Times New Roman" w:hAnsi="Times New Roman"/>
          <w:sz w:val="22"/>
          <w:szCs w:val="22"/>
        </w:rPr>
        <w:t xml:space="preserve"> in the Code of Federal Regulations (CFR).</w:t>
      </w:r>
    </w:p>
    <w:p w14:paraId="3B94CC53" w14:textId="77777777" w:rsidR="001E1CEF" w:rsidRPr="00AC53AC" w:rsidRDefault="001E1CEF" w:rsidP="001E1CEF">
      <w:pPr>
        <w:pStyle w:val="TxBrp10"/>
        <w:numPr>
          <w:ilvl w:val="0"/>
          <w:numId w:val="4"/>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Describe your request specifically as possible and try to limit your request (do not ask for “all files relating to…”). However, it is not necessary to explain why you are requesting the information. </w:t>
      </w:r>
    </w:p>
    <w:p w14:paraId="3B94CC54" w14:textId="77777777" w:rsidR="001E1CEF" w:rsidRPr="00AC53AC" w:rsidRDefault="001E1CEF" w:rsidP="001E1CEF">
      <w:pPr>
        <w:pStyle w:val="TxBrp10"/>
        <w:numPr>
          <w:ilvl w:val="0"/>
          <w:numId w:val="4"/>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Include the date and place of individual’s birth, his or her social security number or other identifier, any previous names or nicknames, and any previous addresses. </w:t>
      </w:r>
    </w:p>
    <w:p w14:paraId="3B94CC55" w14:textId="77777777" w:rsidR="001E1CEF" w:rsidRPr="00AC53AC" w:rsidRDefault="001E1CEF" w:rsidP="001E1CEF">
      <w:pPr>
        <w:pStyle w:val="TxBrp10"/>
        <w:numPr>
          <w:ilvl w:val="0"/>
          <w:numId w:val="4"/>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Keep copies of all correspondence. These copies may be helpful if you need to appeal a denial of your request. </w:t>
      </w:r>
    </w:p>
    <w:p w14:paraId="3B94CC56" w14:textId="77777777" w:rsidR="000577B5" w:rsidRPr="00AC53AC" w:rsidRDefault="000577B5" w:rsidP="001E1CEF">
      <w:pPr>
        <w:pStyle w:val="TxBrp10"/>
        <w:numPr>
          <w:ilvl w:val="0"/>
          <w:numId w:val="4"/>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Remember to apply under both the FOIA and Privacy Act.</w:t>
      </w:r>
    </w:p>
    <w:p w14:paraId="3B94CC57" w14:textId="77777777" w:rsidR="000577B5" w:rsidRPr="00AC53AC" w:rsidRDefault="000577B5" w:rsidP="001E1CEF">
      <w:pPr>
        <w:pStyle w:val="TxBrp10"/>
        <w:numPr>
          <w:ilvl w:val="0"/>
          <w:numId w:val="4"/>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Mark the envelope “Attn: Freedom of Information/Privacy Act Unit.”</w:t>
      </w:r>
    </w:p>
    <w:p w14:paraId="3B94CC58"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59"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r w:rsidRPr="00AC53AC">
        <w:rPr>
          <w:rFonts w:ascii="Times New Roman" w:hAnsi="Times New Roman"/>
          <w:sz w:val="22"/>
          <w:szCs w:val="22"/>
        </w:rPr>
        <w:t>***</w:t>
      </w:r>
      <w:r w:rsidR="00EA6669" w:rsidRPr="00AC53AC">
        <w:rPr>
          <w:rFonts w:ascii="Times New Roman" w:hAnsi="Times New Roman"/>
          <w:sz w:val="22"/>
          <w:szCs w:val="22"/>
        </w:rPr>
        <w:t xml:space="preserve"> </w:t>
      </w:r>
      <w:r w:rsidRPr="00AC53AC">
        <w:rPr>
          <w:rFonts w:ascii="Times New Roman" w:hAnsi="Times New Roman"/>
          <w:sz w:val="22"/>
          <w:szCs w:val="22"/>
        </w:rPr>
        <w:t xml:space="preserve">Most agencies will charge a fee to pay for search and duplication costs. However, fees for a limited </w:t>
      </w:r>
      <w:r w:rsidR="00411491" w:rsidRPr="00AC53AC">
        <w:rPr>
          <w:rFonts w:ascii="Times New Roman" w:hAnsi="Times New Roman"/>
          <w:sz w:val="22"/>
          <w:szCs w:val="22"/>
        </w:rPr>
        <w:t>amount</w:t>
      </w:r>
      <w:r w:rsidRPr="00AC53AC">
        <w:rPr>
          <w:rFonts w:ascii="Times New Roman" w:hAnsi="Times New Roman"/>
          <w:sz w:val="22"/>
          <w:szCs w:val="22"/>
        </w:rPr>
        <w:t xml:space="preserve"> of </w:t>
      </w:r>
      <w:r w:rsidR="00411491" w:rsidRPr="00AC53AC">
        <w:rPr>
          <w:rFonts w:ascii="Times New Roman" w:hAnsi="Times New Roman"/>
          <w:sz w:val="22"/>
          <w:szCs w:val="22"/>
        </w:rPr>
        <w:t>hours/pages</w:t>
      </w:r>
      <w:r w:rsidRPr="00AC53AC">
        <w:rPr>
          <w:rFonts w:ascii="Times New Roman" w:hAnsi="Times New Roman"/>
          <w:sz w:val="22"/>
          <w:szCs w:val="22"/>
        </w:rPr>
        <w:t xml:space="preserve"> with usually be waved. You can ask the agency to send you a fee schedule or to notify you of the anticipated cost. </w:t>
      </w:r>
    </w:p>
    <w:p w14:paraId="3B94CC5A"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5B"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r w:rsidRPr="00AC53AC">
        <w:rPr>
          <w:rFonts w:ascii="Times New Roman" w:hAnsi="Times New Roman"/>
          <w:b/>
          <w:sz w:val="28"/>
          <w:szCs w:val="28"/>
        </w:rPr>
        <w:t>The Agency’s Response</w:t>
      </w:r>
    </w:p>
    <w:p w14:paraId="3B94CC5C" w14:textId="77777777" w:rsidR="000577B5" w:rsidRPr="00AC53AC" w:rsidRDefault="000577B5" w:rsidP="00CF30BB">
      <w:pPr>
        <w:pStyle w:val="TxBrp8"/>
        <w:spacing w:line="240" w:lineRule="auto"/>
        <w:ind w:firstLine="0"/>
        <w:rPr>
          <w:rFonts w:ascii="Times New Roman" w:hAnsi="Times New Roman"/>
          <w:sz w:val="22"/>
          <w:szCs w:val="22"/>
        </w:rPr>
      </w:pPr>
      <w:r w:rsidRPr="00AC53AC">
        <w:rPr>
          <w:rFonts w:ascii="Times New Roman" w:hAnsi="Times New Roman"/>
          <w:szCs w:val="24"/>
        </w:rPr>
        <w:tab/>
      </w:r>
      <w:r w:rsidRPr="00AC53AC">
        <w:rPr>
          <w:rFonts w:ascii="Times New Roman" w:hAnsi="Times New Roman"/>
          <w:sz w:val="22"/>
          <w:szCs w:val="22"/>
        </w:rPr>
        <w:t xml:space="preserve">Officially, agencies must decide within 10 working days whether or not to comply with a request. If they deny your request, they are required to notify you of the reasons for the </w:t>
      </w:r>
      <w:r w:rsidR="00411491" w:rsidRPr="00AC53AC">
        <w:rPr>
          <w:rFonts w:ascii="Times New Roman" w:hAnsi="Times New Roman"/>
          <w:sz w:val="22"/>
          <w:szCs w:val="22"/>
        </w:rPr>
        <w:t>denial</w:t>
      </w:r>
      <w:r w:rsidRPr="00AC53AC">
        <w:rPr>
          <w:rFonts w:ascii="Times New Roman" w:hAnsi="Times New Roman"/>
          <w:sz w:val="22"/>
          <w:szCs w:val="22"/>
        </w:rPr>
        <w:t xml:space="preserve">. For example, your requested file might fall under an exemption category or your description of the requested file might be inadequate. </w:t>
      </w:r>
    </w:p>
    <w:p w14:paraId="3B94CC5D" w14:textId="77777777" w:rsidR="00EA6669" w:rsidRPr="00AC53AC" w:rsidRDefault="00EA6669" w:rsidP="00CF30BB">
      <w:pPr>
        <w:pStyle w:val="TxBrp8"/>
        <w:spacing w:line="240" w:lineRule="auto"/>
        <w:ind w:firstLine="0"/>
        <w:rPr>
          <w:rFonts w:ascii="Times New Roman" w:hAnsi="Times New Roman"/>
          <w:sz w:val="22"/>
          <w:szCs w:val="22"/>
        </w:rPr>
      </w:pPr>
    </w:p>
    <w:p w14:paraId="3B94CC5E" w14:textId="77777777" w:rsidR="000577B5" w:rsidRPr="00AC53AC" w:rsidRDefault="000577B5"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Even if your request if not denied, you may have to wait for a substantial period of time before your request is satisfied. Government agencies are often backlogged with requests and courts usually allow the agencies time extensions to answer them. Most agencies will inform you if there is a delay. If you </w:t>
      </w:r>
      <w:r w:rsidR="00411491" w:rsidRPr="00AC53AC">
        <w:rPr>
          <w:rFonts w:ascii="Times New Roman" w:hAnsi="Times New Roman"/>
          <w:sz w:val="22"/>
          <w:szCs w:val="22"/>
        </w:rPr>
        <w:t>feel</w:t>
      </w:r>
      <w:r w:rsidRPr="00AC53AC">
        <w:rPr>
          <w:rFonts w:ascii="Times New Roman" w:hAnsi="Times New Roman"/>
          <w:sz w:val="22"/>
          <w:szCs w:val="22"/>
        </w:rPr>
        <w:t xml:space="preserve"> your request is not being </w:t>
      </w:r>
      <w:r w:rsidR="00411491" w:rsidRPr="00AC53AC">
        <w:rPr>
          <w:rFonts w:ascii="Times New Roman" w:hAnsi="Times New Roman"/>
          <w:sz w:val="22"/>
          <w:szCs w:val="22"/>
        </w:rPr>
        <w:t>dealt</w:t>
      </w:r>
      <w:r w:rsidRPr="00AC53AC">
        <w:rPr>
          <w:rFonts w:ascii="Times New Roman" w:hAnsi="Times New Roman"/>
          <w:sz w:val="22"/>
          <w:szCs w:val="22"/>
        </w:rPr>
        <w:t xml:space="preserve"> </w:t>
      </w:r>
      <w:r w:rsidRPr="00AC53AC">
        <w:rPr>
          <w:rFonts w:ascii="Times New Roman" w:hAnsi="Times New Roman"/>
          <w:sz w:val="22"/>
          <w:szCs w:val="22"/>
        </w:rPr>
        <w:lastRenderedPageBreak/>
        <w:t xml:space="preserve">with in a timely manner, you can inquire about the status of your request, attempt to get the agency to commit to a specific release date, or send a letter of appeal. </w:t>
      </w:r>
    </w:p>
    <w:p w14:paraId="3B94CC5F"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Cs w:val="24"/>
        </w:rPr>
      </w:pPr>
    </w:p>
    <w:p w14:paraId="3B94CC60"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r w:rsidRPr="00AC53AC">
        <w:rPr>
          <w:rFonts w:ascii="Times New Roman" w:hAnsi="Times New Roman"/>
          <w:b/>
          <w:sz w:val="28"/>
          <w:szCs w:val="28"/>
        </w:rPr>
        <w:t>Appeals</w:t>
      </w:r>
    </w:p>
    <w:p w14:paraId="3B94CC61" w14:textId="77777777" w:rsidR="000577B5" w:rsidRPr="00AC53AC" w:rsidRDefault="000577B5" w:rsidP="00CF30BB">
      <w:pPr>
        <w:pStyle w:val="TxBrp8"/>
        <w:spacing w:line="240" w:lineRule="auto"/>
        <w:ind w:firstLine="0"/>
        <w:rPr>
          <w:rFonts w:ascii="Times New Roman" w:hAnsi="Times New Roman"/>
          <w:sz w:val="22"/>
          <w:szCs w:val="22"/>
        </w:rPr>
      </w:pPr>
      <w:r w:rsidRPr="00AC53AC">
        <w:rPr>
          <w:rFonts w:ascii="Times New Roman" w:hAnsi="Times New Roman"/>
          <w:szCs w:val="24"/>
        </w:rPr>
        <w:tab/>
      </w:r>
      <w:r w:rsidR="00411491" w:rsidRPr="00AC53AC">
        <w:rPr>
          <w:rFonts w:ascii="Times New Roman" w:hAnsi="Times New Roman"/>
          <w:sz w:val="22"/>
          <w:szCs w:val="22"/>
        </w:rPr>
        <w:t>An appeal usually consists</w:t>
      </w:r>
      <w:r w:rsidRPr="00AC53AC">
        <w:rPr>
          <w:rFonts w:ascii="Times New Roman" w:hAnsi="Times New Roman"/>
          <w:sz w:val="22"/>
          <w:szCs w:val="22"/>
        </w:rPr>
        <w:t xml:space="preserve"> of a letter sent to the head of the agency. There is no </w:t>
      </w:r>
      <w:r w:rsidR="00411491" w:rsidRPr="00AC53AC">
        <w:rPr>
          <w:rFonts w:ascii="Times New Roman" w:hAnsi="Times New Roman"/>
          <w:sz w:val="22"/>
          <w:szCs w:val="22"/>
        </w:rPr>
        <w:t>fee</w:t>
      </w:r>
      <w:r w:rsidRPr="00AC53AC">
        <w:rPr>
          <w:rFonts w:ascii="Times New Roman" w:hAnsi="Times New Roman"/>
          <w:sz w:val="22"/>
          <w:szCs w:val="22"/>
        </w:rPr>
        <w:t xml:space="preserve"> to appeal, and an individual can appeal:</w:t>
      </w:r>
    </w:p>
    <w:p w14:paraId="3B94CC62" w14:textId="77777777" w:rsidR="000577B5" w:rsidRPr="00AC53AC" w:rsidRDefault="000577B5" w:rsidP="000577B5">
      <w:pPr>
        <w:pStyle w:val="TxBrp10"/>
        <w:numPr>
          <w:ilvl w:val="0"/>
          <w:numId w:val="5"/>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The denial of a request</w:t>
      </w:r>
    </w:p>
    <w:p w14:paraId="3B94CC63" w14:textId="77777777" w:rsidR="000577B5" w:rsidRPr="00AC53AC" w:rsidRDefault="000577B5" w:rsidP="000577B5">
      <w:pPr>
        <w:pStyle w:val="TxBrp10"/>
        <w:numPr>
          <w:ilvl w:val="0"/>
          <w:numId w:val="5"/>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The type or amount of fee</w:t>
      </w:r>
    </w:p>
    <w:p w14:paraId="3B94CC64" w14:textId="77777777" w:rsidR="000577B5" w:rsidRPr="00AC53AC" w:rsidRDefault="000577B5" w:rsidP="000577B5">
      <w:pPr>
        <w:pStyle w:val="TxBrp10"/>
        <w:numPr>
          <w:ilvl w:val="0"/>
          <w:numId w:val="5"/>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 xml:space="preserve">A response claiming an inadequate description or that no </w:t>
      </w:r>
      <w:r w:rsidR="00411491" w:rsidRPr="00AC53AC">
        <w:rPr>
          <w:rFonts w:ascii="Times New Roman" w:hAnsi="Times New Roman"/>
          <w:sz w:val="22"/>
          <w:szCs w:val="22"/>
        </w:rPr>
        <w:t>records</w:t>
      </w:r>
      <w:r w:rsidRPr="00AC53AC">
        <w:rPr>
          <w:rFonts w:ascii="Times New Roman" w:hAnsi="Times New Roman"/>
          <w:sz w:val="22"/>
          <w:szCs w:val="22"/>
        </w:rPr>
        <w:t xml:space="preserve"> were found</w:t>
      </w:r>
    </w:p>
    <w:p w14:paraId="3B94CC65" w14:textId="77777777" w:rsidR="000577B5" w:rsidRPr="00AC53AC" w:rsidRDefault="000577B5" w:rsidP="000577B5">
      <w:pPr>
        <w:pStyle w:val="TxBrp10"/>
        <w:numPr>
          <w:ilvl w:val="0"/>
          <w:numId w:val="5"/>
        </w:numPr>
        <w:tabs>
          <w:tab w:val="clear" w:pos="0"/>
          <w:tab w:val="clear" w:pos="186"/>
          <w:tab w:val="clear" w:pos="1467"/>
          <w:tab w:val="left" w:pos="187"/>
          <w:tab w:val="left" w:pos="373"/>
          <w:tab w:val="left" w:pos="1654"/>
        </w:tabs>
        <w:spacing w:line="240" w:lineRule="auto"/>
        <w:rPr>
          <w:rFonts w:ascii="Times New Roman" w:hAnsi="Times New Roman"/>
          <w:sz w:val="22"/>
          <w:szCs w:val="22"/>
        </w:rPr>
      </w:pPr>
      <w:r w:rsidRPr="00AC53AC">
        <w:rPr>
          <w:rFonts w:ascii="Times New Roman" w:hAnsi="Times New Roman"/>
          <w:sz w:val="22"/>
          <w:szCs w:val="22"/>
        </w:rPr>
        <w:t>The denied part of a request that was partially granted and partially denied</w:t>
      </w:r>
    </w:p>
    <w:p w14:paraId="3B94CC66"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67" w14:textId="77777777" w:rsidR="000577B5" w:rsidRPr="00AC53AC" w:rsidRDefault="000577B5"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Your letter of appeal should identify the request being appealed </w:t>
      </w:r>
      <w:r w:rsidR="00411491" w:rsidRPr="00AC53AC">
        <w:rPr>
          <w:rFonts w:ascii="Times New Roman" w:hAnsi="Times New Roman"/>
          <w:sz w:val="22"/>
          <w:szCs w:val="22"/>
        </w:rPr>
        <w:t>using</w:t>
      </w:r>
      <w:r w:rsidRPr="00AC53AC">
        <w:rPr>
          <w:rFonts w:ascii="Times New Roman" w:hAnsi="Times New Roman"/>
          <w:sz w:val="22"/>
          <w:szCs w:val="22"/>
        </w:rPr>
        <w:t xml:space="preserve"> the assigned number of the request (if one </w:t>
      </w:r>
      <w:r w:rsidR="00411491" w:rsidRPr="00AC53AC">
        <w:rPr>
          <w:rFonts w:ascii="Times New Roman" w:hAnsi="Times New Roman"/>
          <w:sz w:val="22"/>
          <w:szCs w:val="22"/>
        </w:rPr>
        <w:t>exists</w:t>
      </w:r>
      <w:r w:rsidRPr="00AC53AC">
        <w:rPr>
          <w:rFonts w:ascii="Times New Roman" w:hAnsi="Times New Roman"/>
          <w:sz w:val="22"/>
          <w:szCs w:val="22"/>
        </w:rPr>
        <w:t xml:space="preserve">). You should also include your name and address, and you may want to send the original decision letter as well. Arguments or facts that support a reversal of denial may be submitted, but they are no necessary. </w:t>
      </w:r>
      <w:r w:rsidR="00411491" w:rsidRPr="00AC53AC">
        <w:rPr>
          <w:rFonts w:ascii="Times New Roman" w:hAnsi="Times New Roman"/>
          <w:sz w:val="22"/>
          <w:szCs w:val="22"/>
        </w:rPr>
        <w:t>Finally, write on the envelope, “Freedom of Information Act Appeal.”</w:t>
      </w:r>
    </w:p>
    <w:p w14:paraId="3B94CC68" w14:textId="77777777" w:rsidR="000577B5" w:rsidRPr="00AC53AC" w:rsidRDefault="000577B5"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69" w14:textId="77777777" w:rsidR="000577B5" w:rsidRPr="00AC53AC" w:rsidRDefault="000577B5"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Keep in mind that although agencies are technically required to notify you of the decision regarding an appeal within 20 days, they can often be granted extensions, and it might be much longer before you actually hear from them. </w:t>
      </w:r>
    </w:p>
    <w:p w14:paraId="3B94CC6A" w14:textId="77777777" w:rsidR="000577B5" w:rsidRPr="00AC53AC" w:rsidRDefault="000577B5" w:rsidP="00CF30BB">
      <w:pPr>
        <w:pStyle w:val="TxBrp8"/>
        <w:spacing w:line="240" w:lineRule="auto"/>
        <w:ind w:firstLine="0"/>
        <w:rPr>
          <w:rFonts w:ascii="Times New Roman" w:hAnsi="Times New Roman"/>
          <w:sz w:val="22"/>
          <w:szCs w:val="22"/>
        </w:rPr>
      </w:pPr>
    </w:p>
    <w:p w14:paraId="3B94CC6B" w14:textId="77777777" w:rsidR="000577B5" w:rsidRPr="00AC53AC" w:rsidRDefault="000577B5"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As a last resort, you can file a civil appeal in federal court if the agency’s response to your request is still unsatisfactory to you. However, if you choose to do so, you must first exhaust your administrative remedies under the FOIA before filing for judicial review. Additionally, your suit must name the agency as the defendant, rather than individual employees. Petrus v. Bowen, 833 F. 2d 581 (1987).</w:t>
      </w:r>
    </w:p>
    <w:p w14:paraId="3B94CC6C" w14:textId="77777777" w:rsidR="00CD6400" w:rsidRPr="00AC53AC" w:rsidRDefault="00CD6400"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6D" w14:textId="77777777" w:rsidR="00CD6400" w:rsidRDefault="00CD6400"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r w:rsidRPr="00AC53AC">
        <w:rPr>
          <w:rFonts w:ascii="Times New Roman" w:hAnsi="Times New Roman"/>
          <w:b/>
          <w:sz w:val="28"/>
          <w:szCs w:val="28"/>
        </w:rPr>
        <w:t>Release of Information to Prisoners Through the BOP</w:t>
      </w:r>
    </w:p>
    <w:p w14:paraId="3B94CC6E" w14:textId="77777777" w:rsidR="00233B50" w:rsidRPr="00AC53AC" w:rsidRDefault="00233B50"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b/>
          <w:sz w:val="28"/>
          <w:szCs w:val="28"/>
        </w:rPr>
      </w:pPr>
    </w:p>
    <w:p w14:paraId="3B94CC6F" w14:textId="77777777" w:rsidR="00CD6400" w:rsidRPr="00AC53AC" w:rsidRDefault="00CD6400" w:rsidP="00CF30BB">
      <w:pPr>
        <w:pStyle w:val="TxBrp8"/>
        <w:spacing w:line="240" w:lineRule="auto"/>
        <w:ind w:firstLine="0"/>
        <w:rPr>
          <w:rFonts w:ascii="Times New Roman" w:hAnsi="Times New Roman"/>
          <w:sz w:val="22"/>
          <w:szCs w:val="22"/>
        </w:rPr>
      </w:pPr>
      <w:r w:rsidRPr="00AC53AC">
        <w:rPr>
          <w:rFonts w:ascii="Times New Roman" w:hAnsi="Times New Roman"/>
          <w:szCs w:val="24"/>
        </w:rPr>
        <w:tab/>
      </w:r>
      <w:r w:rsidRPr="00AC53AC">
        <w:rPr>
          <w:rFonts w:ascii="Times New Roman" w:hAnsi="Times New Roman"/>
          <w:sz w:val="22"/>
          <w:szCs w:val="22"/>
        </w:rPr>
        <w:t xml:space="preserve">The regional Federal Bureau of Prisons (BOP) office frequently is the location in possession of the records of federal prisoners. These records ordinarily travel with the prisoners from on regional office to the next if the BOP transfers a prisoner from on region of the country to another. </w:t>
      </w:r>
    </w:p>
    <w:p w14:paraId="3B94CC70" w14:textId="77777777" w:rsidR="00EA6669" w:rsidRPr="00AC53AC" w:rsidRDefault="00EA6669" w:rsidP="00CF30BB">
      <w:pPr>
        <w:pStyle w:val="TxBrp8"/>
        <w:spacing w:line="240" w:lineRule="auto"/>
        <w:ind w:firstLine="0"/>
        <w:rPr>
          <w:rFonts w:ascii="Times New Roman" w:hAnsi="Times New Roman"/>
          <w:sz w:val="22"/>
          <w:szCs w:val="22"/>
        </w:rPr>
      </w:pPr>
    </w:p>
    <w:p w14:paraId="3B94CC71" w14:textId="77777777" w:rsidR="00CD6400" w:rsidRPr="00AC53AC" w:rsidRDefault="00CD6400"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The BOP Program Statement § 513.40 [hereafter P.S.} regulates an inmate’s access to and review of his or her Central File. Inmates can access their Inmate Central Files without the use of a FOIA request. </w:t>
      </w:r>
      <w:r w:rsidR="00411491" w:rsidRPr="00AC53AC">
        <w:rPr>
          <w:rFonts w:ascii="Times New Roman" w:hAnsi="Times New Roman"/>
          <w:sz w:val="22"/>
          <w:szCs w:val="22"/>
        </w:rPr>
        <w:t xml:space="preserve">At any time, a prisoner can submit a request to the proper staff member to review the disclosable information contained in his or her Central File. </w:t>
      </w:r>
      <w:r w:rsidRPr="00AC53AC">
        <w:rPr>
          <w:rFonts w:ascii="Times New Roman" w:hAnsi="Times New Roman"/>
          <w:sz w:val="22"/>
          <w:szCs w:val="22"/>
        </w:rPr>
        <w:t xml:space="preserve">The information that can be disclosed includes, but is not limited to, documents concerning sentence, detainer, parole, participation in prison programs, classification data, visits, conduct, work, and general correspondence. If a prisoner wishes to access information not considered </w:t>
      </w:r>
      <w:r w:rsidR="00411491" w:rsidRPr="00AC53AC">
        <w:rPr>
          <w:rFonts w:ascii="Times New Roman" w:hAnsi="Times New Roman"/>
          <w:sz w:val="22"/>
          <w:szCs w:val="22"/>
        </w:rPr>
        <w:t>disclosable</w:t>
      </w:r>
      <w:r w:rsidRPr="00AC53AC">
        <w:rPr>
          <w:rFonts w:ascii="Times New Roman" w:hAnsi="Times New Roman"/>
          <w:sz w:val="22"/>
          <w:szCs w:val="22"/>
        </w:rPr>
        <w:t xml:space="preserve">, he or she must file a FOIA request. Keep in mind that BOP records are exempt from the Privacy Act so there files may not be able to be amended or corrected by inmates. Requests for records under the Privacy Act will be processed under the guidelines of the FOIA. </w:t>
      </w:r>
    </w:p>
    <w:p w14:paraId="3B94CC72" w14:textId="77777777" w:rsidR="00EA6669" w:rsidRPr="00AC53AC" w:rsidRDefault="00EA6669" w:rsidP="00CF30BB">
      <w:pPr>
        <w:pStyle w:val="TxBrp8"/>
        <w:spacing w:line="240" w:lineRule="auto"/>
        <w:ind w:firstLine="0"/>
        <w:rPr>
          <w:rFonts w:ascii="Times New Roman" w:hAnsi="Times New Roman"/>
          <w:sz w:val="22"/>
          <w:szCs w:val="22"/>
        </w:rPr>
      </w:pPr>
    </w:p>
    <w:p w14:paraId="3B94CC73" w14:textId="77777777" w:rsidR="00CD6400" w:rsidRPr="00AC53AC" w:rsidRDefault="00CD6400"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Medical records are released according to BOP P.S § 513.42. Requests for medical files can also be filed through a designated staff member. Disclosable medical records included medical and related data sheets, reports of medical histories, reports of medical examinations, doctors’ orders, and medication sheets.  These records are usually available for review by </w:t>
      </w:r>
      <w:r w:rsidR="00411491" w:rsidRPr="00AC53AC">
        <w:rPr>
          <w:rFonts w:ascii="Times New Roman" w:hAnsi="Times New Roman"/>
          <w:sz w:val="22"/>
          <w:szCs w:val="22"/>
        </w:rPr>
        <w:t xml:space="preserve">inmates. </w:t>
      </w:r>
      <w:r w:rsidRPr="00AC53AC">
        <w:rPr>
          <w:rFonts w:ascii="Times New Roman" w:hAnsi="Times New Roman"/>
          <w:sz w:val="22"/>
          <w:szCs w:val="22"/>
        </w:rPr>
        <w:t xml:space="preserve">However, medical records </w:t>
      </w:r>
      <w:r w:rsidR="00411491" w:rsidRPr="00AC53AC">
        <w:rPr>
          <w:rFonts w:ascii="Times New Roman" w:hAnsi="Times New Roman"/>
          <w:sz w:val="22"/>
          <w:szCs w:val="22"/>
        </w:rPr>
        <w:t>containing</w:t>
      </w:r>
      <w:r w:rsidRPr="00AC53AC">
        <w:rPr>
          <w:rFonts w:ascii="Times New Roman" w:hAnsi="Times New Roman"/>
          <w:sz w:val="22"/>
          <w:szCs w:val="22"/>
        </w:rPr>
        <w:t xml:space="preserve"> subjective evaluations (in-patient progress reports, outpatient notes, </w:t>
      </w:r>
      <w:r w:rsidR="00411491" w:rsidRPr="00AC53AC">
        <w:rPr>
          <w:rFonts w:ascii="Times New Roman" w:hAnsi="Times New Roman"/>
          <w:sz w:val="22"/>
          <w:szCs w:val="22"/>
        </w:rPr>
        <w:t>consultation</w:t>
      </w:r>
      <w:r w:rsidRPr="00AC53AC">
        <w:rPr>
          <w:rFonts w:ascii="Times New Roman" w:hAnsi="Times New Roman"/>
          <w:sz w:val="22"/>
          <w:szCs w:val="22"/>
        </w:rPr>
        <w:t xml:space="preserve"> reports, etc.) must first be reviewed by staff members to determine if their release will harm the inmate or other individuals. If the staff decided not to disclose records, the inmate has the opportunity to submit a request under the FOIA/ Privacy Act to the proper agency. </w:t>
      </w:r>
    </w:p>
    <w:p w14:paraId="3B94CC74" w14:textId="77777777" w:rsidR="00EA6669" w:rsidRPr="00AC53AC" w:rsidRDefault="00EA6669" w:rsidP="00CF30BB">
      <w:pPr>
        <w:pStyle w:val="TxBrp8"/>
        <w:spacing w:line="240" w:lineRule="auto"/>
        <w:ind w:firstLine="0"/>
        <w:rPr>
          <w:rFonts w:ascii="Times New Roman" w:hAnsi="Times New Roman"/>
          <w:sz w:val="22"/>
          <w:szCs w:val="22"/>
        </w:rPr>
      </w:pPr>
    </w:p>
    <w:p w14:paraId="3B94CC75" w14:textId="77777777" w:rsidR="00763FB4" w:rsidRPr="00AC53AC" w:rsidRDefault="00763FB4"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The BOP recently enacted a regulation prohibiting inmates from obtaining and possessing photocopies of the pre-sentence reports (PSR) and statement of reasons (SOR) from the </w:t>
      </w:r>
      <w:r w:rsidR="00411491" w:rsidRPr="00AC53AC">
        <w:rPr>
          <w:rFonts w:ascii="Times New Roman" w:hAnsi="Times New Roman"/>
          <w:sz w:val="22"/>
          <w:szCs w:val="22"/>
        </w:rPr>
        <w:t>judgments</w:t>
      </w:r>
      <w:r w:rsidRPr="00AC53AC">
        <w:rPr>
          <w:rFonts w:ascii="Times New Roman" w:hAnsi="Times New Roman"/>
          <w:sz w:val="22"/>
          <w:szCs w:val="22"/>
        </w:rPr>
        <w:t xml:space="preserve"> in </w:t>
      </w:r>
      <w:r w:rsidR="00411491" w:rsidRPr="00AC53AC">
        <w:rPr>
          <w:rFonts w:ascii="Times New Roman" w:hAnsi="Times New Roman"/>
          <w:sz w:val="22"/>
          <w:szCs w:val="22"/>
        </w:rPr>
        <w:t>criminal</w:t>
      </w:r>
      <w:r w:rsidRPr="00AC53AC">
        <w:rPr>
          <w:rFonts w:ascii="Times New Roman" w:hAnsi="Times New Roman"/>
          <w:sz w:val="22"/>
          <w:szCs w:val="22"/>
        </w:rPr>
        <w:t xml:space="preserve"> cases under BOP P.S. § 513.40a (2)(d)(1). A prisoner will still be able to review a PSR or SOR upon request, however, as required by United States Department of Justice v. Julian, 486 U.S. 1 (1988).  Inmates who need to review their PSR’s before sentencing can </w:t>
      </w:r>
      <w:r w:rsidR="00411491" w:rsidRPr="00AC53AC">
        <w:rPr>
          <w:rFonts w:ascii="Times New Roman" w:hAnsi="Times New Roman"/>
          <w:sz w:val="22"/>
          <w:szCs w:val="22"/>
        </w:rPr>
        <w:t>possess</w:t>
      </w:r>
      <w:r w:rsidRPr="00AC53AC">
        <w:rPr>
          <w:rFonts w:ascii="Times New Roman" w:hAnsi="Times New Roman"/>
          <w:sz w:val="22"/>
          <w:szCs w:val="22"/>
        </w:rPr>
        <w:t xml:space="preserve"> the reports in order to prepare for sentencing, but cannot retain the copies after sentencing is complete. Additional, prisoners who need copies of their PSR’s or SOR’s to file with their court cases should complete an Inmate Request for Certification or Judicial Notice of Pre-sentenced Report and/or Statement of Reasons for (BP-S757.013).</w:t>
      </w:r>
    </w:p>
    <w:p w14:paraId="3B94CC76" w14:textId="77777777" w:rsidR="00EA6669" w:rsidRPr="00AC53AC" w:rsidRDefault="00EA6669" w:rsidP="00CF30BB">
      <w:pPr>
        <w:pStyle w:val="TxBrp8"/>
        <w:spacing w:line="240" w:lineRule="auto"/>
        <w:ind w:firstLine="0"/>
        <w:rPr>
          <w:rFonts w:ascii="Times New Roman" w:hAnsi="Times New Roman"/>
          <w:sz w:val="22"/>
          <w:szCs w:val="22"/>
        </w:rPr>
      </w:pPr>
    </w:p>
    <w:p w14:paraId="3B94CC77" w14:textId="77777777" w:rsidR="00763FB4" w:rsidRPr="00AC53AC" w:rsidRDefault="00763FB4" w:rsidP="00CF30BB">
      <w:pPr>
        <w:pStyle w:val="TxBrp8"/>
        <w:spacing w:line="240" w:lineRule="auto"/>
        <w:ind w:firstLine="0"/>
        <w:rPr>
          <w:rFonts w:ascii="Times New Roman" w:hAnsi="Times New Roman"/>
          <w:sz w:val="22"/>
          <w:szCs w:val="22"/>
        </w:rPr>
      </w:pPr>
      <w:r w:rsidRPr="00AC53AC">
        <w:rPr>
          <w:rFonts w:ascii="Times New Roman" w:hAnsi="Times New Roman"/>
          <w:sz w:val="22"/>
          <w:szCs w:val="22"/>
        </w:rPr>
        <w:tab/>
        <w:t xml:space="preserve">Two forms are attached to this bulletin. The BOP prefers usage of the “Certification of </w:t>
      </w:r>
      <w:r w:rsidR="00411491" w:rsidRPr="00AC53AC">
        <w:rPr>
          <w:rFonts w:ascii="Times New Roman" w:hAnsi="Times New Roman"/>
          <w:sz w:val="22"/>
          <w:szCs w:val="22"/>
        </w:rPr>
        <w:t>Identity</w:t>
      </w:r>
      <w:r w:rsidRPr="00AC53AC">
        <w:rPr>
          <w:rFonts w:ascii="Times New Roman" w:hAnsi="Times New Roman"/>
          <w:sz w:val="22"/>
          <w:szCs w:val="22"/>
        </w:rPr>
        <w:t>” Form DOJ-</w:t>
      </w:r>
      <w:r w:rsidRPr="00AC53AC">
        <w:rPr>
          <w:rFonts w:ascii="Times New Roman" w:hAnsi="Times New Roman"/>
          <w:sz w:val="22"/>
          <w:szCs w:val="22"/>
        </w:rPr>
        <w:lastRenderedPageBreak/>
        <w:t>361 when applying to access files. The DC</w:t>
      </w:r>
      <w:r w:rsidR="00D3199D" w:rsidRPr="00AC53AC">
        <w:rPr>
          <w:rFonts w:ascii="Times New Roman" w:hAnsi="Times New Roman"/>
          <w:sz w:val="22"/>
          <w:szCs w:val="22"/>
        </w:rPr>
        <w:t>-</w:t>
      </w:r>
      <w:r w:rsidRPr="00AC53AC">
        <w:rPr>
          <w:rFonts w:ascii="Times New Roman" w:hAnsi="Times New Roman"/>
          <w:sz w:val="22"/>
          <w:szCs w:val="22"/>
        </w:rPr>
        <w:t xml:space="preserve">ADM 003 form should be used by Pennsylvania prisoners when seeking information from the </w:t>
      </w:r>
      <w:r w:rsidR="00411491" w:rsidRPr="00AC53AC">
        <w:rPr>
          <w:rFonts w:ascii="Times New Roman" w:hAnsi="Times New Roman"/>
          <w:sz w:val="22"/>
          <w:szCs w:val="22"/>
        </w:rPr>
        <w:t>Pennsylvania</w:t>
      </w:r>
      <w:r w:rsidRPr="00AC53AC">
        <w:rPr>
          <w:rFonts w:ascii="Times New Roman" w:hAnsi="Times New Roman"/>
          <w:sz w:val="22"/>
          <w:szCs w:val="22"/>
        </w:rPr>
        <w:t xml:space="preserve"> Department of Corrections (DOC). The Pennsylvania DOC usually prefers attorneys or other outsi</w:t>
      </w:r>
      <w:r w:rsidR="00D3199D" w:rsidRPr="00AC53AC">
        <w:rPr>
          <w:rFonts w:ascii="Times New Roman" w:hAnsi="Times New Roman"/>
          <w:sz w:val="22"/>
          <w:szCs w:val="22"/>
        </w:rPr>
        <w:t>ders to submit the completed DC-</w:t>
      </w:r>
      <w:r w:rsidRPr="00AC53AC">
        <w:rPr>
          <w:rFonts w:ascii="Times New Roman" w:hAnsi="Times New Roman"/>
          <w:sz w:val="22"/>
          <w:szCs w:val="22"/>
        </w:rPr>
        <w:t xml:space="preserve">ADM 003 form, since Pennsylvania law now authorizes the DOC to charge a $15.00 “processing” fee in addition to the price </w:t>
      </w:r>
      <w:r w:rsidR="00411491" w:rsidRPr="00AC53AC">
        <w:rPr>
          <w:rFonts w:ascii="Times New Roman" w:hAnsi="Times New Roman"/>
          <w:sz w:val="22"/>
          <w:szCs w:val="22"/>
        </w:rPr>
        <w:t>per page</w:t>
      </w:r>
      <w:r w:rsidRPr="00AC53AC">
        <w:rPr>
          <w:rFonts w:ascii="Times New Roman" w:hAnsi="Times New Roman"/>
          <w:sz w:val="22"/>
          <w:szCs w:val="22"/>
        </w:rPr>
        <w:t xml:space="preserve"> for copies. Also note that the DOC is reluctant to relinquish records directly to prisoners on the premise that the records (even medical) still belong to the DOC. </w:t>
      </w:r>
    </w:p>
    <w:p w14:paraId="3B94CC78" w14:textId="77777777" w:rsidR="00763FB4" w:rsidRPr="00AC53AC" w:rsidRDefault="00763FB4" w:rsidP="000577B5">
      <w:pPr>
        <w:pStyle w:val="TxBrp10"/>
        <w:tabs>
          <w:tab w:val="clear" w:pos="0"/>
          <w:tab w:val="clear" w:pos="186"/>
          <w:tab w:val="clear" w:pos="1467"/>
          <w:tab w:val="left" w:pos="187"/>
          <w:tab w:val="left" w:pos="373"/>
          <w:tab w:val="left" w:pos="1654"/>
        </w:tabs>
        <w:spacing w:line="240" w:lineRule="auto"/>
        <w:ind w:left="0" w:firstLine="0"/>
        <w:rPr>
          <w:rFonts w:ascii="Times New Roman" w:hAnsi="Times New Roman"/>
          <w:sz w:val="22"/>
          <w:szCs w:val="22"/>
        </w:rPr>
      </w:pPr>
    </w:p>
    <w:p w14:paraId="3B94CC79" w14:textId="77777777" w:rsidR="00E63666" w:rsidRPr="00AC53AC" w:rsidRDefault="00763FB4" w:rsidP="00EF4845">
      <w:pPr>
        <w:pStyle w:val="TxBrp10"/>
        <w:tabs>
          <w:tab w:val="clear" w:pos="0"/>
          <w:tab w:val="clear" w:pos="1467"/>
          <w:tab w:val="left" w:pos="373"/>
          <w:tab w:val="left" w:pos="1654"/>
        </w:tabs>
        <w:spacing w:line="240" w:lineRule="auto"/>
        <w:ind w:left="0" w:firstLine="0"/>
        <w:rPr>
          <w:rFonts w:ascii="Times New Roman" w:hAnsi="Times New Roman"/>
          <w:sz w:val="22"/>
          <w:szCs w:val="22"/>
        </w:rPr>
      </w:pPr>
      <w:r w:rsidRPr="00AC53AC">
        <w:rPr>
          <w:rFonts w:ascii="Times New Roman" w:hAnsi="Times New Roman"/>
          <w:sz w:val="22"/>
          <w:szCs w:val="22"/>
        </w:rPr>
        <w:tab/>
        <w:t>The following agency addresses may also be especially helpful for prisoners:</w:t>
      </w:r>
      <w:r w:rsidR="00E63666" w:rsidRPr="00AC53AC">
        <w:rPr>
          <w:rFonts w:ascii="Times New Roman" w:hAnsi="Times New Roman"/>
          <w:sz w:val="22"/>
          <w:szCs w:val="22"/>
        </w:rPr>
        <w:tab/>
      </w:r>
    </w:p>
    <w:p w14:paraId="3B94CC7A" w14:textId="77777777" w:rsidR="00E63666" w:rsidRPr="00AC53AC" w:rsidRDefault="00E63666" w:rsidP="001E1CEF">
      <w:pPr>
        <w:pStyle w:val="TxBrp17"/>
        <w:spacing w:line="240" w:lineRule="auto"/>
        <w:ind w:firstLine="0"/>
        <w:rPr>
          <w:rFonts w:ascii="Times New Roman" w:hAnsi="Times New Roman"/>
          <w:sz w:val="22"/>
          <w:szCs w:val="22"/>
        </w:rPr>
      </w:pPr>
      <w:r w:rsidRPr="00AC53AC">
        <w:rPr>
          <w:rFonts w:ascii="Times New Roman" w:hAnsi="Times New Roman"/>
          <w:sz w:val="22"/>
          <w:szCs w:val="22"/>
        </w:rPr>
        <w:tab/>
      </w:r>
    </w:p>
    <w:p w14:paraId="3B94CC7B" w14:textId="77777777" w:rsidR="00E63666" w:rsidRPr="00AC53AC" w:rsidRDefault="00E63666">
      <w:pPr>
        <w:pStyle w:val="TxBrp15"/>
        <w:spacing w:line="240" w:lineRule="auto"/>
        <w:ind w:firstLine="0"/>
        <w:rPr>
          <w:rFonts w:ascii="Times New Roman" w:hAnsi="Times New Roman"/>
          <w:sz w:val="22"/>
          <w:szCs w:val="22"/>
        </w:rPr>
      </w:pPr>
      <w:r w:rsidRPr="00AC53AC">
        <w:rPr>
          <w:rFonts w:ascii="Times New Roman" w:hAnsi="Times New Roman"/>
          <w:sz w:val="22"/>
          <w:szCs w:val="22"/>
        </w:rPr>
        <w:tab/>
        <w:t>Freedom of Information/Privacy Act Office</w:t>
      </w:r>
    </w:p>
    <w:p w14:paraId="3B94CC7C"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Central Office</w:t>
      </w:r>
    </w:p>
    <w:p w14:paraId="3B94CC7D"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Bureau of Prisons</w:t>
      </w:r>
    </w:p>
    <w:p w14:paraId="3B94CC7E"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HOLC Building</w:t>
      </w:r>
    </w:p>
    <w:p w14:paraId="3B94CC7F"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320 First Street, N.W.</w:t>
      </w:r>
    </w:p>
    <w:p w14:paraId="3B94CC80"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Washington, D.C. 20534</w:t>
      </w:r>
    </w:p>
    <w:p w14:paraId="3B94CC81" w14:textId="77777777" w:rsidR="00E63666" w:rsidRPr="00AC53AC" w:rsidRDefault="00E63666">
      <w:pPr>
        <w:tabs>
          <w:tab w:val="left" w:pos="0"/>
          <w:tab w:val="left" w:pos="730"/>
        </w:tabs>
        <w:rPr>
          <w:rFonts w:ascii="Times New Roman" w:hAnsi="Times New Roman"/>
          <w:sz w:val="22"/>
          <w:szCs w:val="22"/>
        </w:rPr>
      </w:pPr>
    </w:p>
    <w:p w14:paraId="3B94CC82" w14:textId="77777777" w:rsidR="00E63666" w:rsidRPr="00AC53AC" w:rsidRDefault="00E63666">
      <w:pPr>
        <w:pStyle w:val="TxBrp30"/>
        <w:tabs>
          <w:tab w:val="clear" w:pos="0"/>
          <w:tab w:val="left" w:pos="1472"/>
        </w:tabs>
        <w:rPr>
          <w:rFonts w:ascii="Times New Roman" w:hAnsi="Times New Roman"/>
          <w:sz w:val="22"/>
          <w:szCs w:val="22"/>
        </w:rPr>
      </w:pPr>
      <w:r w:rsidRPr="00AC53AC">
        <w:rPr>
          <w:rFonts w:ascii="Times New Roman" w:hAnsi="Times New Roman"/>
          <w:sz w:val="22"/>
          <w:szCs w:val="22"/>
        </w:rPr>
        <w:t>Freedom of Information/Privacy Act Office</w:t>
      </w:r>
    </w:p>
    <w:p w14:paraId="3B94CC83"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Department of Justice</w:t>
      </w:r>
    </w:p>
    <w:p w14:paraId="3B94CC84" w14:textId="77777777" w:rsidR="00E63666" w:rsidRPr="00AC53AC" w:rsidRDefault="00E63666">
      <w:pPr>
        <w:pStyle w:val="TxBrp30"/>
        <w:tabs>
          <w:tab w:val="clear" w:pos="0"/>
          <w:tab w:val="left" w:pos="1472"/>
        </w:tabs>
        <w:rPr>
          <w:rFonts w:ascii="Times New Roman" w:hAnsi="Times New Roman"/>
          <w:sz w:val="22"/>
          <w:szCs w:val="22"/>
        </w:rPr>
      </w:pPr>
      <w:r w:rsidRPr="00AC53AC">
        <w:rPr>
          <w:rFonts w:ascii="Times New Roman" w:hAnsi="Times New Roman"/>
          <w:sz w:val="22"/>
          <w:szCs w:val="22"/>
        </w:rPr>
        <w:t>Federal Bureau of Investigation</w:t>
      </w:r>
    </w:p>
    <w:p w14:paraId="3B94CC85" w14:textId="77777777" w:rsidR="00E63666" w:rsidRPr="00AC53AC" w:rsidRDefault="00763FB4">
      <w:pPr>
        <w:pStyle w:val="TxBrt33"/>
        <w:tabs>
          <w:tab w:val="left" w:pos="0"/>
          <w:tab w:val="left" w:pos="708"/>
          <w:tab w:val="decimal" w:pos="4120"/>
        </w:tabs>
        <w:ind w:firstLine="708"/>
        <w:rPr>
          <w:rFonts w:ascii="Times New Roman" w:hAnsi="Times New Roman"/>
          <w:sz w:val="22"/>
          <w:szCs w:val="22"/>
        </w:rPr>
      </w:pPr>
      <w:r w:rsidRPr="00AC53AC">
        <w:rPr>
          <w:rFonts w:ascii="Times New Roman" w:hAnsi="Times New Roman"/>
          <w:sz w:val="22"/>
          <w:szCs w:val="22"/>
        </w:rPr>
        <w:t xml:space="preserve">Washington, D.C. </w:t>
      </w:r>
      <w:r w:rsidR="00E63666" w:rsidRPr="00AC53AC">
        <w:rPr>
          <w:rFonts w:ascii="Times New Roman" w:hAnsi="Times New Roman"/>
          <w:sz w:val="22"/>
          <w:szCs w:val="22"/>
        </w:rPr>
        <w:t>20535</w:t>
      </w:r>
    </w:p>
    <w:p w14:paraId="3B94CC86" w14:textId="77777777" w:rsidR="00E63666" w:rsidRPr="00AC53AC" w:rsidRDefault="00E63666">
      <w:pPr>
        <w:tabs>
          <w:tab w:val="left" w:pos="0"/>
          <w:tab w:val="left" w:pos="708"/>
          <w:tab w:val="decimal" w:pos="4120"/>
        </w:tabs>
        <w:rPr>
          <w:rFonts w:ascii="Times New Roman" w:hAnsi="Times New Roman"/>
          <w:sz w:val="22"/>
          <w:szCs w:val="22"/>
        </w:rPr>
      </w:pPr>
    </w:p>
    <w:p w14:paraId="3B94CC87"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Freedom of Information/Privacy Act Office</w:t>
      </w:r>
    </w:p>
    <w:p w14:paraId="3B94CC88"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U.S. Parole Commission</w:t>
      </w:r>
    </w:p>
    <w:p w14:paraId="3B94CC89"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5550 Friendship Blvd.</w:t>
      </w:r>
    </w:p>
    <w:p w14:paraId="3B94CC8A"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Chevy Chase, MD 20815</w:t>
      </w:r>
    </w:p>
    <w:p w14:paraId="3B94CC8B" w14:textId="77777777" w:rsidR="00E63666" w:rsidRPr="00AC53AC" w:rsidRDefault="00E63666">
      <w:pPr>
        <w:tabs>
          <w:tab w:val="left" w:pos="0"/>
          <w:tab w:val="left" w:pos="730"/>
        </w:tabs>
        <w:rPr>
          <w:rFonts w:ascii="Times New Roman" w:hAnsi="Times New Roman"/>
          <w:sz w:val="22"/>
          <w:szCs w:val="22"/>
        </w:rPr>
      </w:pPr>
    </w:p>
    <w:p w14:paraId="3B94CC8C"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U.S.</w:t>
      </w:r>
      <w:r w:rsidRPr="00AC53AC">
        <w:rPr>
          <w:rFonts w:ascii="Times New Roman" w:hAnsi="Times New Roman"/>
          <w:b/>
          <w:sz w:val="22"/>
          <w:szCs w:val="22"/>
        </w:rPr>
        <w:t xml:space="preserve"> </w:t>
      </w:r>
      <w:r w:rsidRPr="00AC53AC">
        <w:rPr>
          <w:rFonts w:ascii="Times New Roman" w:hAnsi="Times New Roman"/>
          <w:sz w:val="22"/>
          <w:szCs w:val="22"/>
        </w:rPr>
        <w:t>Commission on Civil Rights</w:t>
      </w:r>
    </w:p>
    <w:p w14:paraId="3B94CC8D" w14:textId="77777777" w:rsidR="00E63666" w:rsidRPr="00AC53AC" w:rsidRDefault="00E63666">
      <w:pPr>
        <w:pStyle w:val="TxBrp29"/>
        <w:tabs>
          <w:tab w:val="clear" w:pos="0"/>
          <w:tab w:val="clear" w:pos="730"/>
          <w:tab w:val="left" w:pos="732"/>
          <w:tab w:val="left" w:pos="1462"/>
        </w:tabs>
        <w:rPr>
          <w:rFonts w:ascii="Times New Roman" w:hAnsi="Times New Roman"/>
          <w:sz w:val="22"/>
          <w:szCs w:val="22"/>
        </w:rPr>
      </w:pPr>
      <w:r w:rsidRPr="00AC53AC">
        <w:rPr>
          <w:rFonts w:ascii="Times New Roman" w:hAnsi="Times New Roman"/>
          <w:sz w:val="22"/>
          <w:szCs w:val="22"/>
        </w:rPr>
        <w:t>1121 Vermont Avenue, N.W. Room 600</w:t>
      </w:r>
    </w:p>
    <w:p w14:paraId="3B94CC8E" w14:textId="77777777" w:rsidR="00E63666" w:rsidRPr="00AC53AC" w:rsidRDefault="00763FB4">
      <w:pPr>
        <w:pStyle w:val="TxBrt33"/>
        <w:tabs>
          <w:tab w:val="left" w:pos="0"/>
          <w:tab w:val="left" w:pos="708"/>
          <w:tab w:val="decimal" w:pos="4120"/>
        </w:tabs>
        <w:ind w:firstLine="708"/>
        <w:rPr>
          <w:rFonts w:ascii="Times New Roman" w:hAnsi="Times New Roman"/>
          <w:sz w:val="22"/>
          <w:szCs w:val="22"/>
        </w:rPr>
      </w:pPr>
      <w:r w:rsidRPr="00AC53AC">
        <w:rPr>
          <w:rFonts w:ascii="Times New Roman" w:hAnsi="Times New Roman"/>
          <w:sz w:val="22"/>
          <w:szCs w:val="22"/>
        </w:rPr>
        <w:t xml:space="preserve">Washington, D.C. </w:t>
      </w:r>
      <w:r w:rsidR="00E63666" w:rsidRPr="00AC53AC">
        <w:rPr>
          <w:rFonts w:ascii="Times New Roman" w:hAnsi="Times New Roman"/>
          <w:sz w:val="22"/>
          <w:szCs w:val="22"/>
        </w:rPr>
        <w:t>20425</w:t>
      </w:r>
    </w:p>
    <w:p w14:paraId="3B94CC8F" w14:textId="77777777" w:rsidR="00E63666" w:rsidRPr="00AC53AC" w:rsidRDefault="00E63666">
      <w:pPr>
        <w:tabs>
          <w:tab w:val="left" w:pos="0"/>
          <w:tab w:val="left" w:pos="708"/>
          <w:tab w:val="decimal" w:pos="4120"/>
        </w:tabs>
        <w:rPr>
          <w:rFonts w:ascii="Times New Roman" w:hAnsi="Times New Roman"/>
          <w:sz w:val="22"/>
          <w:szCs w:val="22"/>
        </w:rPr>
      </w:pPr>
    </w:p>
    <w:p w14:paraId="3B94CC90" w14:textId="77777777" w:rsidR="00E63666" w:rsidRPr="00AC53AC" w:rsidRDefault="00E63666">
      <w:pPr>
        <w:tabs>
          <w:tab w:val="left" w:pos="0"/>
          <w:tab w:val="left" w:pos="3174"/>
          <w:tab w:val="left" w:pos="3468"/>
        </w:tabs>
        <w:rPr>
          <w:rFonts w:ascii="Times New Roman" w:hAnsi="Times New Roman"/>
          <w:sz w:val="22"/>
          <w:szCs w:val="22"/>
        </w:rPr>
      </w:pPr>
    </w:p>
    <w:p w14:paraId="3B94CC91" w14:textId="77777777" w:rsidR="00EF4845" w:rsidRPr="00AC53AC" w:rsidRDefault="00EF4845">
      <w:pPr>
        <w:tabs>
          <w:tab w:val="left" w:pos="0"/>
          <w:tab w:val="left" w:pos="3174"/>
          <w:tab w:val="left" w:pos="3468"/>
        </w:tabs>
        <w:rPr>
          <w:rFonts w:ascii="Times New Roman" w:hAnsi="Times New Roman"/>
          <w:sz w:val="22"/>
          <w:szCs w:val="22"/>
        </w:rPr>
      </w:pPr>
    </w:p>
    <w:sectPr w:rsidR="00EF4845" w:rsidRPr="00AC53AC" w:rsidSect="00AC53AC">
      <w:footerReference w:type="default" r:id="rId10"/>
      <w:endnotePr>
        <w:numFmt w:val="decimal"/>
      </w:endnotePr>
      <w:pgSz w:w="12240" w:h="15840"/>
      <w:pgMar w:top="720" w:right="720" w:bottom="720" w:left="99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37FE" w14:textId="77777777" w:rsidR="00A05547" w:rsidRDefault="00A05547">
      <w:r>
        <w:separator/>
      </w:r>
    </w:p>
  </w:endnote>
  <w:endnote w:type="continuationSeparator" w:id="0">
    <w:p w14:paraId="2DC815B8" w14:textId="77777777" w:rsidR="00A05547" w:rsidRDefault="00A0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CC96" w14:textId="77777777" w:rsidR="00EA6669" w:rsidRDefault="00EA6669">
    <w:pPr>
      <w:spacing w:line="240" w:lineRule="exact"/>
      <w:rPr>
        <w:sz w:val="17"/>
      </w:rPr>
    </w:pPr>
  </w:p>
  <w:p w14:paraId="3B94CC97" w14:textId="77777777" w:rsidR="00EA6669" w:rsidRDefault="00EA6669">
    <w:pPr>
      <w:tabs>
        <w:tab w:val="center" w:pos="5715"/>
        <w:tab w:val="left" w:pos="6360"/>
        <w:tab w:val="left" w:pos="7080"/>
        <w:tab w:val="left" w:pos="7800"/>
        <w:tab w:val="left" w:pos="8520"/>
        <w:tab w:val="left" w:pos="9240"/>
        <w:tab w:val="left" w:pos="9960"/>
        <w:tab w:val="left" w:pos="10680"/>
      </w:tabs>
      <w:ind w:left="600" w:right="204"/>
      <w:rPr>
        <w:rFonts w:ascii="Bookman Old Style" w:hAnsi="Bookman Old Style"/>
        <w:sz w:val="14"/>
      </w:rPr>
    </w:pPr>
    <w:r>
      <w:rPr>
        <w:rFonts w:ascii="Bookman Old Style" w:hAnsi="Bookman Old Style"/>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412F" w14:textId="77777777" w:rsidR="00A05547" w:rsidRDefault="00A05547">
      <w:r>
        <w:separator/>
      </w:r>
    </w:p>
  </w:footnote>
  <w:footnote w:type="continuationSeparator" w:id="0">
    <w:p w14:paraId="1690E817" w14:textId="77777777" w:rsidR="00A05547" w:rsidRDefault="00A05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563E"/>
    <w:multiLevelType w:val="hybridMultilevel"/>
    <w:tmpl w:val="F7A891A2"/>
    <w:lvl w:ilvl="0" w:tplc="5322BB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7205E7A"/>
    <w:multiLevelType w:val="hybridMultilevel"/>
    <w:tmpl w:val="9FDAF88A"/>
    <w:lvl w:ilvl="0" w:tplc="0C7E78A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6C31ECC"/>
    <w:multiLevelType w:val="hybridMultilevel"/>
    <w:tmpl w:val="57BAFBD8"/>
    <w:lvl w:ilvl="0" w:tplc="E29640E8">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EE442ED"/>
    <w:multiLevelType w:val="hybridMultilevel"/>
    <w:tmpl w:val="8D0A2484"/>
    <w:lvl w:ilvl="0" w:tplc="1FB6D2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A4755D0"/>
    <w:multiLevelType w:val="hybridMultilevel"/>
    <w:tmpl w:val="F6965FF8"/>
    <w:lvl w:ilvl="0" w:tplc="2318B4B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D7CC9"/>
    <w:rsid w:val="000577B5"/>
    <w:rsid w:val="001E1CEF"/>
    <w:rsid w:val="00233B50"/>
    <w:rsid w:val="00247F33"/>
    <w:rsid w:val="00411491"/>
    <w:rsid w:val="006D7CC9"/>
    <w:rsid w:val="00716B1A"/>
    <w:rsid w:val="0075661C"/>
    <w:rsid w:val="00763FB4"/>
    <w:rsid w:val="00934CF8"/>
    <w:rsid w:val="00A05547"/>
    <w:rsid w:val="00A74597"/>
    <w:rsid w:val="00AC53AC"/>
    <w:rsid w:val="00B73756"/>
    <w:rsid w:val="00BD2FA1"/>
    <w:rsid w:val="00CD6400"/>
    <w:rsid w:val="00CF30BB"/>
    <w:rsid w:val="00D3199D"/>
    <w:rsid w:val="00E63666"/>
    <w:rsid w:val="00EA6669"/>
    <w:rsid w:val="00E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4CC19"/>
  <w15:docId w15:val="{63430C58-4A37-41C0-9825-9D3A7E7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B1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B1A"/>
  </w:style>
  <w:style w:type="paragraph" w:customStyle="1" w:styleId="TxBrp1">
    <w:name w:val="TxBr_p1"/>
    <w:basedOn w:val="Normal"/>
    <w:rsid w:val="00716B1A"/>
    <w:pPr>
      <w:tabs>
        <w:tab w:val="left" w:pos="0"/>
        <w:tab w:val="left" w:pos="204"/>
      </w:tabs>
    </w:pPr>
  </w:style>
  <w:style w:type="paragraph" w:customStyle="1" w:styleId="TxBrp5">
    <w:name w:val="TxBr_p5"/>
    <w:basedOn w:val="Normal"/>
    <w:rsid w:val="00716B1A"/>
    <w:pPr>
      <w:tabs>
        <w:tab w:val="left" w:pos="0"/>
        <w:tab w:val="left" w:pos="7062"/>
      </w:tabs>
      <w:ind w:left="7063" w:hanging="7062"/>
    </w:pPr>
  </w:style>
  <w:style w:type="paragraph" w:customStyle="1" w:styleId="TxBrt2">
    <w:name w:val="TxBr_t2"/>
    <w:basedOn w:val="Normal"/>
    <w:rsid w:val="00716B1A"/>
  </w:style>
  <w:style w:type="paragraph" w:customStyle="1" w:styleId="TxBrp6">
    <w:name w:val="TxBr_p6"/>
    <w:basedOn w:val="Normal"/>
    <w:rsid w:val="00716B1A"/>
    <w:pPr>
      <w:tabs>
        <w:tab w:val="left" w:pos="0"/>
        <w:tab w:val="left" w:pos="204"/>
      </w:tabs>
    </w:pPr>
  </w:style>
  <w:style w:type="paragraph" w:customStyle="1" w:styleId="TxBrc7">
    <w:name w:val="TxBr_c7"/>
    <w:basedOn w:val="Normal"/>
    <w:rsid w:val="00716B1A"/>
    <w:pPr>
      <w:jc w:val="center"/>
    </w:pPr>
  </w:style>
  <w:style w:type="paragraph" w:customStyle="1" w:styleId="TxBrt3">
    <w:name w:val="TxBr_t3"/>
    <w:basedOn w:val="Normal"/>
    <w:rsid w:val="00716B1A"/>
  </w:style>
  <w:style w:type="paragraph" w:customStyle="1" w:styleId="TxBrt4">
    <w:name w:val="TxBr_t4"/>
    <w:basedOn w:val="Normal"/>
    <w:rsid w:val="00716B1A"/>
  </w:style>
  <w:style w:type="paragraph" w:customStyle="1" w:styleId="TxBrp8">
    <w:name w:val="TxBr_p8"/>
    <w:basedOn w:val="Normal"/>
    <w:rsid w:val="00716B1A"/>
    <w:pPr>
      <w:tabs>
        <w:tab w:val="left" w:pos="0"/>
        <w:tab w:val="left" w:pos="781"/>
      </w:tabs>
      <w:spacing w:line="361" w:lineRule="exact"/>
      <w:ind w:firstLine="782"/>
    </w:pPr>
  </w:style>
  <w:style w:type="paragraph" w:customStyle="1" w:styleId="TxBrp9">
    <w:name w:val="TxBr_p9"/>
    <w:basedOn w:val="Normal"/>
    <w:rsid w:val="00716B1A"/>
    <w:pPr>
      <w:tabs>
        <w:tab w:val="left" w:pos="0"/>
        <w:tab w:val="left" w:pos="736"/>
      </w:tabs>
      <w:ind w:left="736" w:hanging="736"/>
    </w:pPr>
  </w:style>
  <w:style w:type="paragraph" w:customStyle="1" w:styleId="TxBrp10">
    <w:name w:val="TxBr_p10"/>
    <w:basedOn w:val="Normal"/>
    <w:rsid w:val="00716B1A"/>
    <w:pPr>
      <w:tabs>
        <w:tab w:val="left" w:pos="0"/>
        <w:tab w:val="left" w:pos="186"/>
        <w:tab w:val="left" w:pos="1467"/>
      </w:tabs>
      <w:spacing w:line="361" w:lineRule="exact"/>
      <w:ind w:left="187" w:firstLine="1280"/>
    </w:pPr>
  </w:style>
  <w:style w:type="paragraph" w:customStyle="1" w:styleId="TxBrp11">
    <w:name w:val="TxBr_p11"/>
    <w:basedOn w:val="Normal"/>
    <w:rsid w:val="00716B1A"/>
    <w:pPr>
      <w:tabs>
        <w:tab w:val="left" w:pos="0"/>
        <w:tab w:val="left" w:pos="3207"/>
        <w:tab w:val="left" w:pos="3916"/>
      </w:tabs>
      <w:ind w:left="3918" w:hanging="708"/>
    </w:pPr>
  </w:style>
  <w:style w:type="paragraph" w:customStyle="1" w:styleId="TxBrp12">
    <w:name w:val="TxBr_p12"/>
    <w:basedOn w:val="Normal"/>
    <w:rsid w:val="00716B1A"/>
    <w:pPr>
      <w:tabs>
        <w:tab w:val="left" w:pos="0"/>
        <w:tab w:val="left" w:pos="204"/>
      </w:tabs>
      <w:spacing w:line="361" w:lineRule="exact"/>
    </w:pPr>
  </w:style>
  <w:style w:type="paragraph" w:customStyle="1" w:styleId="TxBrp13">
    <w:name w:val="TxBr_p13"/>
    <w:basedOn w:val="Normal"/>
    <w:rsid w:val="00716B1A"/>
    <w:pPr>
      <w:tabs>
        <w:tab w:val="left" w:pos="0"/>
        <w:tab w:val="left" w:pos="730"/>
        <w:tab w:val="left" w:pos="1467"/>
      </w:tabs>
      <w:spacing w:line="361" w:lineRule="exact"/>
      <w:ind w:firstLine="732"/>
    </w:pPr>
  </w:style>
  <w:style w:type="paragraph" w:customStyle="1" w:styleId="TxBrp14">
    <w:name w:val="TxBr_p14"/>
    <w:basedOn w:val="Normal"/>
    <w:rsid w:val="00716B1A"/>
    <w:pPr>
      <w:tabs>
        <w:tab w:val="left" w:pos="0"/>
        <w:tab w:val="left" w:pos="458"/>
      </w:tabs>
      <w:ind w:left="459" w:hanging="458"/>
    </w:pPr>
  </w:style>
  <w:style w:type="paragraph" w:customStyle="1" w:styleId="TxBrp15">
    <w:name w:val="TxBr_p15"/>
    <w:basedOn w:val="Normal"/>
    <w:rsid w:val="00716B1A"/>
    <w:pPr>
      <w:tabs>
        <w:tab w:val="left" w:pos="0"/>
        <w:tab w:val="left" w:pos="730"/>
      </w:tabs>
      <w:spacing w:line="361" w:lineRule="exact"/>
      <w:ind w:firstLine="732"/>
    </w:pPr>
  </w:style>
  <w:style w:type="paragraph" w:customStyle="1" w:styleId="TxBrp16">
    <w:name w:val="TxBr_p16"/>
    <w:basedOn w:val="Normal"/>
    <w:rsid w:val="00716B1A"/>
    <w:pPr>
      <w:tabs>
        <w:tab w:val="left" w:pos="0"/>
        <w:tab w:val="left" w:pos="204"/>
      </w:tabs>
      <w:spacing w:line="361" w:lineRule="exact"/>
    </w:pPr>
  </w:style>
  <w:style w:type="paragraph" w:customStyle="1" w:styleId="TxBrp17">
    <w:name w:val="TxBr_p17"/>
    <w:basedOn w:val="Normal"/>
    <w:rsid w:val="00716B1A"/>
    <w:pPr>
      <w:tabs>
        <w:tab w:val="left" w:pos="0"/>
        <w:tab w:val="left" w:pos="1467"/>
      </w:tabs>
      <w:spacing w:line="361" w:lineRule="exact"/>
      <w:ind w:firstLine="1468"/>
    </w:pPr>
  </w:style>
  <w:style w:type="paragraph" w:customStyle="1" w:styleId="TxBrp18">
    <w:name w:val="TxBr_p18"/>
    <w:basedOn w:val="Normal"/>
    <w:rsid w:val="00716B1A"/>
    <w:pPr>
      <w:tabs>
        <w:tab w:val="left" w:pos="0"/>
        <w:tab w:val="left" w:pos="736"/>
      </w:tabs>
      <w:spacing w:line="361" w:lineRule="exact"/>
      <w:ind w:firstLine="736"/>
    </w:pPr>
  </w:style>
  <w:style w:type="paragraph" w:customStyle="1" w:styleId="TxBrp20">
    <w:name w:val="TxBr_p20"/>
    <w:basedOn w:val="Normal"/>
    <w:rsid w:val="00716B1A"/>
    <w:pPr>
      <w:tabs>
        <w:tab w:val="left" w:pos="0"/>
        <w:tab w:val="left" w:pos="1440"/>
      </w:tabs>
      <w:spacing w:line="361" w:lineRule="exact"/>
      <w:ind w:firstLine="1440"/>
    </w:pPr>
  </w:style>
  <w:style w:type="paragraph" w:customStyle="1" w:styleId="TxBrp23">
    <w:name w:val="TxBr_p23"/>
    <w:basedOn w:val="Normal"/>
    <w:rsid w:val="00716B1A"/>
    <w:pPr>
      <w:tabs>
        <w:tab w:val="left" w:pos="0"/>
        <w:tab w:val="left" w:pos="1444"/>
      </w:tabs>
      <w:spacing w:line="361" w:lineRule="exact"/>
      <w:ind w:firstLine="1446"/>
    </w:pPr>
  </w:style>
  <w:style w:type="paragraph" w:customStyle="1" w:styleId="TxBrp24">
    <w:name w:val="TxBr_p24"/>
    <w:basedOn w:val="Normal"/>
    <w:rsid w:val="00716B1A"/>
    <w:pPr>
      <w:tabs>
        <w:tab w:val="left" w:pos="0"/>
        <w:tab w:val="left" w:pos="877"/>
      </w:tabs>
      <w:ind w:left="878"/>
    </w:pPr>
  </w:style>
  <w:style w:type="paragraph" w:customStyle="1" w:styleId="TxBrp25">
    <w:name w:val="TxBr_p25"/>
    <w:basedOn w:val="Normal"/>
    <w:rsid w:val="00716B1A"/>
    <w:pPr>
      <w:tabs>
        <w:tab w:val="left" w:pos="0"/>
        <w:tab w:val="left" w:pos="730"/>
        <w:tab w:val="left" w:pos="1467"/>
        <w:tab w:val="left" w:pos="2160"/>
      </w:tabs>
      <w:spacing w:line="361" w:lineRule="exact"/>
      <w:ind w:left="732" w:firstLine="736"/>
    </w:pPr>
  </w:style>
  <w:style w:type="paragraph" w:customStyle="1" w:styleId="TxBrp27">
    <w:name w:val="TxBr_p27"/>
    <w:basedOn w:val="Normal"/>
    <w:rsid w:val="00716B1A"/>
    <w:pPr>
      <w:tabs>
        <w:tab w:val="left" w:pos="0"/>
        <w:tab w:val="left" w:pos="730"/>
      </w:tabs>
      <w:spacing w:line="361" w:lineRule="exact"/>
      <w:ind w:left="732"/>
    </w:pPr>
  </w:style>
  <w:style w:type="paragraph" w:customStyle="1" w:styleId="TxBrp28">
    <w:name w:val="TxBr_p28"/>
    <w:basedOn w:val="Normal"/>
    <w:rsid w:val="00716B1A"/>
    <w:pPr>
      <w:tabs>
        <w:tab w:val="left" w:pos="0"/>
        <w:tab w:val="left" w:pos="736"/>
        <w:tab w:val="left" w:pos="1450"/>
        <w:tab w:val="left" w:pos="2113"/>
      </w:tabs>
      <w:spacing w:line="361" w:lineRule="exact"/>
      <w:ind w:left="736" w:firstLine="714"/>
    </w:pPr>
  </w:style>
  <w:style w:type="paragraph" w:customStyle="1" w:styleId="TxBrp29">
    <w:name w:val="TxBr_p29"/>
    <w:basedOn w:val="Normal"/>
    <w:rsid w:val="00716B1A"/>
    <w:pPr>
      <w:tabs>
        <w:tab w:val="left" w:pos="0"/>
        <w:tab w:val="left" w:pos="730"/>
      </w:tabs>
      <w:ind w:left="732"/>
    </w:pPr>
  </w:style>
  <w:style w:type="paragraph" w:customStyle="1" w:styleId="TxBrp30">
    <w:name w:val="TxBr_p30"/>
    <w:basedOn w:val="Normal"/>
    <w:rsid w:val="00716B1A"/>
    <w:pPr>
      <w:tabs>
        <w:tab w:val="left" w:pos="0"/>
        <w:tab w:val="left" w:pos="736"/>
      </w:tabs>
      <w:ind w:left="736"/>
    </w:pPr>
  </w:style>
  <w:style w:type="paragraph" w:customStyle="1" w:styleId="TxBrt33">
    <w:name w:val="TxBr_t33"/>
    <w:basedOn w:val="Normal"/>
    <w:rsid w:val="00716B1A"/>
  </w:style>
  <w:style w:type="paragraph" w:customStyle="1" w:styleId="TxBrp31">
    <w:name w:val="TxBr_p31"/>
    <w:basedOn w:val="Normal"/>
    <w:rsid w:val="00716B1A"/>
    <w:pPr>
      <w:tabs>
        <w:tab w:val="left" w:pos="0"/>
        <w:tab w:val="left" w:pos="3174"/>
        <w:tab w:val="left" w:pos="3468"/>
      </w:tabs>
      <w:ind w:left="3469" w:hanging="294"/>
    </w:pPr>
  </w:style>
  <w:style w:type="paragraph" w:customStyle="1" w:styleId="TxBrp32">
    <w:name w:val="TxBr_p32"/>
    <w:basedOn w:val="Normal"/>
    <w:rsid w:val="00716B1A"/>
    <w:pPr>
      <w:tabs>
        <w:tab w:val="left" w:pos="0"/>
        <w:tab w:val="left" w:pos="702"/>
      </w:tabs>
      <w:spacing w:line="225" w:lineRule="exact"/>
      <w:ind w:firstLine="702"/>
    </w:pPr>
  </w:style>
  <w:style w:type="paragraph" w:customStyle="1" w:styleId="TxBrp26">
    <w:name w:val="TxBr_p26"/>
    <w:basedOn w:val="Normal"/>
    <w:rsid w:val="00716B1A"/>
    <w:pPr>
      <w:tabs>
        <w:tab w:val="left" w:pos="0"/>
        <w:tab w:val="left" w:pos="204"/>
      </w:tabs>
    </w:pPr>
  </w:style>
  <w:style w:type="paragraph" w:styleId="Header">
    <w:name w:val="header"/>
    <w:basedOn w:val="Normal"/>
    <w:semiHidden/>
    <w:rsid w:val="00716B1A"/>
    <w:pPr>
      <w:tabs>
        <w:tab w:val="center" w:pos="4320"/>
        <w:tab w:val="right" w:pos="8640"/>
      </w:tabs>
    </w:pPr>
  </w:style>
  <w:style w:type="paragraph" w:styleId="Footer">
    <w:name w:val="footer"/>
    <w:basedOn w:val="Normal"/>
    <w:semiHidden/>
    <w:rsid w:val="00716B1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96D72FE1D8D4DADFE92D94F7D6C64" ma:contentTypeVersion="0" ma:contentTypeDescription="Create a new document." ma:contentTypeScope="" ma:versionID="ccbc26575ff1075ed9c1a2ec0f2588b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5BF99-DE6C-4479-86B1-DFDCA557EFA9}">
  <ds:schemaRefs>
    <ds:schemaRef ds:uri="http://schemas.microsoft.com/sharepoint/v3/contenttype/forms"/>
  </ds:schemaRefs>
</ds:datastoreItem>
</file>

<file path=customXml/itemProps2.xml><?xml version="1.0" encoding="utf-8"?>
<ds:datastoreItem xmlns:ds="http://schemas.openxmlformats.org/officeDocument/2006/customXml" ds:itemID="{27D48D23-7890-4A79-92C0-43721678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6E7393-9417-48A2-ABE7-5FFFA36595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Lewisburg Prison Project Inc</vt:lpstr>
    </vt:vector>
  </TitlesOfParts>
  <Company>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Stina Stannik</cp:lastModifiedBy>
  <cp:revision>6</cp:revision>
  <cp:lastPrinted>1999-08-02T19:25:00Z</cp:lastPrinted>
  <dcterms:created xsi:type="dcterms:W3CDTF">2012-07-09T18:38:00Z</dcterms:created>
  <dcterms:modified xsi:type="dcterms:W3CDTF">2020-04-03T13:29:00Z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0x010100CE696D72FE1D8D4DADFE92D94F7D6C64</vt:lpwstr>
  </property>
  <property fmtid="{D5CDD505-2E9C-101B-9397-08002B2CF9AE}" pid="3" name="Order">
    <vt:r8>233800</vt:r8>
  </property>
  <property fmtid="{D5CDD505-2E9C-101B-9397-08002B2CF9AE}" pid="4" name="ComplianceAssetId">
    <vt:lpwstr/>
  </property>
</Properties>
</file>