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DA" w:rsidRPr="006C5DDA" w:rsidRDefault="006C5DDA" w:rsidP="006C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C5D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KNOW YOUR RIGHTS</w:t>
      </w:r>
    </w:p>
    <w:p w:rsidR="006C5DDA" w:rsidRDefault="006C5DDA" w:rsidP="006C5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C5D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PRISONER TRANSFERS </w:t>
      </w:r>
      <w:r w:rsidRPr="006C5DD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6C5DDA" w:rsidRPr="006C5DDA" w:rsidRDefault="006C5DDA" w:rsidP="006C5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C5DDA" w:rsidRPr="006C5DDA" w:rsidRDefault="006C5DDA" w:rsidP="006C5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ACLU National Prison Project </w:t>
      </w:r>
    </w:p>
    <w:p w:rsidR="006C5DDA" w:rsidRPr="006C5DDA" w:rsidRDefault="006C5DDA" w:rsidP="006C5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Last updated 6/03 </w:t>
      </w:r>
    </w:p>
    <w:p w:rsidR="006C5DDA" w:rsidRPr="006C5DDA" w:rsidRDefault="006C5DDA" w:rsidP="006C5DDA">
      <w:pPr>
        <w:spacing w:before="25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Important Note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>: The law is alwa</w:t>
      </w:r>
      <w:r w:rsidRPr="006C5D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evolving. If you have access to a prison law library, it is a good idea to confirm that the cases and statutes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cited below are still good law.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1FE0">
        <w:rPr>
          <w:rFonts w:ascii="Times New Roman" w:eastAsia="Times New Roman" w:hAnsi="Times New Roman" w:cs="Times New Roman"/>
          <w:color w:val="000000"/>
          <w:sz w:val="24"/>
          <w:szCs w:val="24"/>
        </w:rPr>
        <w:t>Last updated June 2003.</w:t>
      </w:r>
    </w:p>
    <w:p w:rsidR="006C5DDA" w:rsidRPr="006C5DDA" w:rsidRDefault="006C5DDA" w:rsidP="006C5DDA">
      <w:pPr>
        <w:spacing w:before="206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ACLU fact sheet describes the special circumstances in which prisoners may challenge transfers between prisons. </w:t>
      </w:r>
    </w:p>
    <w:p w:rsidR="006C5DDA" w:rsidRPr="006C5DDA" w:rsidRDefault="006C5DDA" w:rsidP="006C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DDA" w:rsidRPr="006C5DDA" w:rsidRDefault="006C5DDA" w:rsidP="006C5D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>Prison officials may transfer prisoners from one prison to another without violating the Constitution, except under the special circumstances described below. The Supreme Court has held that a prisoner does not have a constitutional liberty interest in being confined in any particular institution, or in receiving a hearing or any other procedural protections before a transfer. [2] This rule applies even 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transfer: 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(1). is to a higher security institution, (2) is done in response to alleged misconduct, (3) causes a prisoner to lose program opportunities, or </w:t>
      </w:r>
      <w:r w:rsidRPr="006C5D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>4) interferes with visiting opportunities. [3] It also applies to transfers between state and federal facilities, from one state to another, from a country or city jail to a state prison, or between housing units in the same prison [4] Some prisons have regulations that require a hearing or some other protection before a t</w:t>
      </w:r>
      <w:r w:rsidRPr="006C5D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>ansfer occurs, and a prisoner may want to find out whether his or her facility has these regulations and how to use them. Howe</w:t>
      </w:r>
      <w:r w:rsidRPr="006C5D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er, procedural regulations on transfer do not create a constitutional due process right to those protections. At best, they may create a state law right that can be enforced in state court. [5] </w:t>
      </w:r>
    </w:p>
    <w:p w:rsidR="006C5DDA" w:rsidRPr="006C5DDA" w:rsidRDefault="006C5DDA" w:rsidP="006C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DDA" w:rsidRPr="006C5DDA" w:rsidRDefault="006C5DDA" w:rsidP="006C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Special Circumstances </w:t>
      </w:r>
    </w:p>
    <w:p w:rsidR="006C5DDA" w:rsidRPr="006C5DDA" w:rsidRDefault="006C5DDA" w:rsidP="006C5DDA">
      <w:pPr>
        <w:spacing w:before="192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are some special transfer situations in which courts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recognize a constitutional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liberty interest. For example, prisoners who are transferred to a material hospital are entitled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a review. [6]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 courts have held that persons are entitled to a hearing before they are transferred to a "</w:t>
      </w:r>
      <w:proofErr w:type="spellStart"/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>supermax</w:t>
      </w:r>
      <w:proofErr w:type="spellEnd"/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>" unit with very harsh conditions. [7] Prisoners can also challenge transfers if they can show that the transfer decision was made in retaliation for filing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grievance or lawsuit, or for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exercising other constitutional rights. [8] Finally, pre-trial detainees have great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 constitutional protection if 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>a transfer interferes with their Sixth Amendment rights to effective assistance of couns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and to a speedy 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trial. [9] </w:t>
      </w:r>
    </w:p>
    <w:p w:rsidR="006C5DDA" w:rsidRDefault="006C5DDA" w:rsidP="006C5D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DDA" w:rsidRDefault="006C5DDA" w:rsidP="006C5D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DDA" w:rsidRDefault="006C5DDA" w:rsidP="006C5D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C5DDA" w:rsidRDefault="006C5DDA" w:rsidP="006C5D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DDA" w:rsidRPr="006C5DDA" w:rsidRDefault="006C5DDA" w:rsidP="006C5D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 reverse for citations.</w:t>
      </w:r>
    </w:p>
    <w:p w:rsidR="006C5DDA" w:rsidRPr="006C5DDA" w:rsidRDefault="006C5DDA" w:rsidP="006C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[1] Much </w:t>
      </w:r>
      <w:r w:rsidRPr="006C5DDA">
        <w:rPr>
          <w:rFonts w:ascii="Times New Roman" w:eastAsia="Times New Roman" w:hAnsi="Times New Roman" w:cs="Times New Roman"/>
          <w:color w:val="3C3C00"/>
          <w:sz w:val="24"/>
          <w:szCs w:val="24"/>
        </w:rPr>
        <w:t xml:space="preserve">of 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following information was taken from a book by John Boston &amp; Daniel </w:t>
      </w:r>
    </w:p>
    <w:p w:rsidR="006C5DDA" w:rsidRPr="006C5DDA" w:rsidRDefault="006C5DDA" w:rsidP="006C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Manville called the 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Prisoners' Self-Help Litigation Manual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(3d ed. 1995). We include case names and citations for those who have access to law libraries and who want to read court decisions that support this information; </w:t>
      </w:r>
    </w:p>
    <w:p w:rsidR="006C5DDA" w:rsidRPr="006C5DDA" w:rsidRDefault="006C5DDA" w:rsidP="006C5DDA">
      <w:pPr>
        <w:spacing w:before="15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>[2] See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Meachum</w:t>
      </w:r>
      <w:proofErr w:type="spellEnd"/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v. </w:t>
      </w:r>
      <w:proofErr w:type="spellStart"/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Fano</w:t>
      </w:r>
      <w:proofErr w:type="spellEnd"/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427 U.S. 215, 224-25 (1976); </w:t>
      </w:r>
      <w:proofErr w:type="spellStart"/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Montanye</w:t>
      </w:r>
      <w:proofErr w:type="spellEnd"/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v. </w:t>
      </w:r>
      <w:proofErr w:type="spellStart"/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Haymes</w:t>
      </w:r>
      <w:proofErr w:type="spellEnd"/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</w:p>
    <w:p w:rsidR="006C5DDA" w:rsidRPr="006C5DDA" w:rsidRDefault="006C5DDA" w:rsidP="006C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427 U.S. 236, 242-43 (1976) </w:t>
      </w:r>
    </w:p>
    <w:p w:rsidR="006C5DDA" w:rsidRPr="006C5DDA" w:rsidRDefault="006C5DDA" w:rsidP="006C5DDA">
      <w:pPr>
        <w:spacing w:before="15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3]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See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Bruscino</w:t>
      </w:r>
      <w:proofErr w:type="spellEnd"/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v. Carlson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854 F.2d 162, 167 </w:t>
      </w:r>
      <w:r w:rsidRPr="006C5D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(7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>th Cir. 1988)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higher security);</w:t>
      </w:r>
    </w:p>
    <w:p w:rsidR="006C5DDA" w:rsidRPr="006C5DDA" w:rsidRDefault="006C5DDA" w:rsidP="006C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Castaneda y. Henman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914 F.2d 981 983 </w:t>
      </w:r>
      <w:r w:rsidRPr="006C5D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(7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 Cir. 1990) (alleged misconduct); 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Fort v. Reed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623 F. supp. 1106, 1108 (E.D. Wash. 1985) (program opportunities): </w:t>
      </w:r>
      <w:proofErr w:type="spellStart"/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Ef</w:t>
      </w:r>
      <w:proofErr w:type="spellEnd"/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proofErr w:type="spellStart"/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Olim</w:t>
      </w:r>
      <w:proofErr w:type="spellEnd"/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v. </w:t>
      </w:r>
      <w:proofErr w:type="spellStart"/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>akinekona</w:t>
      </w:r>
      <w:proofErr w:type="spellEnd"/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>, 461 U.S. 238, 247-248, 103 S. Ct. 1741, 1746-4</w:t>
      </w:r>
      <w:r w:rsidRPr="006C5D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7 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(1983) (long distance transfers). </w:t>
      </w:r>
    </w:p>
    <w:p w:rsidR="006C5DDA" w:rsidRPr="006C5DDA" w:rsidRDefault="006C5DDA" w:rsidP="006C5DDA">
      <w:pPr>
        <w:spacing w:before="40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>[4] See generally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Olim</w:t>
      </w:r>
      <w:proofErr w:type="spellEnd"/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v</w:t>
      </w:r>
      <w:r w:rsidRPr="006C5D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. </w:t>
      </w:r>
      <w:proofErr w:type="spellStart"/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Wakinekona</w:t>
      </w:r>
      <w:proofErr w:type="spellEnd"/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461 U.S. 238 (1983), cited by 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Overton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proofErr w:type="spellStart"/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Bazzetta</w:t>
      </w:r>
      <w:proofErr w:type="spellEnd"/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539 U.S. </w:t>
      </w:r>
      <w:r w:rsidRPr="006C5D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2003), as upholding incarceration several hours of flight away from home. I [5] 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See, e.g. Blake y. Commissioner of Correctons_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390 Mass. 537, 457 N.E. 2d 281, 282 (1983). </w:t>
      </w:r>
    </w:p>
    <w:p w:rsidR="006C5DDA" w:rsidRPr="006C5DDA" w:rsidRDefault="006C5DDA" w:rsidP="006C5DDA">
      <w:pPr>
        <w:spacing w:before="20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>[6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] See </w:t>
      </w:r>
      <w:proofErr w:type="spellStart"/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Baxstrom</w:t>
      </w:r>
      <w:proofErr w:type="spellEnd"/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v. Herold, 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383 U.S. 107, 115 (1965). </w:t>
      </w:r>
    </w:p>
    <w:p w:rsidR="006C5DDA" w:rsidRPr="006C5DDA" w:rsidRDefault="006C5DDA" w:rsidP="006C5DDA">
      <w:pPr>
        <w:spacing w:before="13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[7] 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Austin v. Wilkinson, 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>189 F. Supp. 2d 719 (N.D. Ohio 2002</w:t>
      </w:r>
      <w:r w:rsidRPr="006C5D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C5DDA" w:rsidRPr="006C5DDA" w:rsidRDefault="006C5DDA" w:rsidP="006C5DDA">
      <w:pPr>
        <w:spacing w:before="1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[8] See 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Pratt v: Rowland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68 3d 802, 806 (9th Cir. 1995); </w:t>
      </w:r>
      <w:proofErr w:type="spellStart"/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Baraldini</w:t>
      </w:r>
      <w:proofErr w:type="spellEnd"/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v. Thornburgh, </w:t>
      </w:r>
    </w:p>
    <w:p w:rsidR="006C5DDA" w:rsidRPr="006C5DDA" w:rsidRDefault="006C5DDA" w:rsidP="006C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>884 F2d 615, 620 (D</w:t>
      </w:r>
      <w:r w:rsidRPr="006C5D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Cir. 1989); 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Bridges v. Russell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757 F.2d: 1155, 1156-57 </w:t>
      </w:r>
      <w:r w:rsidRPr="006C5D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11"? Cir. 1985); if the transfer seriously threatens a prisoner's life and safety, see </w:t>
      </w:r>
      <w:proofErr w:type="spellStart"/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Fitzharris</w:t>
      </w:r>
      <w:proofErr w:type="spellEnd"/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6C5DDA" w:rsidRPr="006C5DDA" w:rsidRDefault="006C5DDA" w:rsidP="006C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</w:t>
      </w:r>
      <w:r w:rsidRPr="006C5D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. 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Wolff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702 F. 2d 836, 839 </w:t>
      </w:r>
      <w:r w:rsidRPr="006C5D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9th Cir. 1983); </w:t>
      </w:r>
      <w:proofErr w:type="spellStart"/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Gullantte</w:t>
      </w:r>
      <w:proofErr w:type="spellEnd"/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v. Potts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654 F. 2d 1007, 1012-13, (5th Cir. 1981); or if a medical condition makes a transfer dangerous to a prisoner's health. See </w:t>
      </w:r>
      <w:proofErr w:type="spellStart"/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Roba</w:t>
      </w:r>
      <w:proofErr w:type="spellEnd"/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v. United States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604 F. 2d 215, 218-19 (2d Cir. 1979). </w:t>
      </w:r>
    </w:p>
    <w:p w:rsidR="006C5DDA" w:rsidRPr="006C5DDA" w:rsidRDefault="006C5DDA" w:rsidP="006C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DDA" w:rsidRPr="006C5DDA" w:rsidRDefault="006C5DDA" w:rsidP="006C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[9] See </w:t>
      </w:r>
      <w:proofErr w:type="spellStart"/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Covino</w:t>
      </w:r>
      <w:proofErr w:type="spellEnd"/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6C5DDA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v. V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ermont </w:t>
      </w:r>
      <w:proofErr w:type="spellStart"/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Dept</w:t>
      </w:r>
      <w:proofErr w:type="spellEnd"/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of Corrections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933 F.2d 128, 130 (2d Cir. 199.1); </w:t>
      </w:r>
    </w:p>
    <w:p w:rsidR="004A33EE" w:rsidRDefault="006C5DDA" w:rsidP="006C5DDA"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Cobb v. </w:t>
      </w:r>
      <w:proofErr w:type="spellStart"/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Aytch</w:t>
      </w:r>
      <w:proofErr w:type="spellEnd"/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; 6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43F. 2d. 946, 957-62 (3d Cir. 1981); 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Muslim v. Frame, </w:t>
      </w:r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854 F. </w:t>
      </w:r>
      <w:proofErr w:type="spellStart"/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>supp</w:t>
      </w:r>
      <w:proofErr w:type="spellEnd"/>
      <w:r w:rsidRPr="006C5DDA">
        <w:rPr>
          <w:rFonts w:ascii="Times New Roman" w:eastAsia="Times New Roman" w:hAnsi="Times New Roman" w:cs="Times New Roman"/>
          <w:color w:val="000000"/>
          <w:sz w:val="24"/>
          <w:szCs w:val="24"/>
        </w:rPr>
        <w:t>: 1215, 1229 (E.D. Pa: 1994).</w:t>
      </w:r>
    </w:p>
    <w:sectPr w:rsidR="004A3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DA"/>
    <w:rsid w:val="00196121"/>
    <w:rsid w:val="001C0EBA"/>
    <w:rsid w:val="006C5DDA"/>
    <w:rsid w:val="007B38C6"/>
    <w:rsid w:val="00B4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686C6-52CE-4688-BA4D-8F01D9DE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96D72FE1D8D4DADFE92D94F7D6C64" ma:contentTypeVersion="0" ma:contentTypeDescription="Create a new document." ma:contentTypeScope="" ma:versionID="ccbc26575ff1075ed9c1a2ec0f2588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73B765-F339-4BE4-8C6F-9A03BD39C932}"/>
</file>

<file path=customXml/itemProps2.xml><?xml version="1.0" encoding="utf-8"?>
<ds:datastoreItem xmlns:ds="http://schemas.openxmlformats.org/officeDocument/2006/customXml" ds:itemID="{41264E3E-9227-4CF5-959A-84AFEFFD07AA}"/>
</file>

<file path=customXml/itemProps3.xml><?xml version="1.0" encoding="utf-8"?>
<ds:datastoreItem xmlns:ds="http://schemas.openxmlformats.org/officeDocument/2006/customXml" ds:itemID="{67070987-8741-462C-9D2B-F9091322CD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LPP Computer 2</dc:creator>
  <cp:keywords/>
  <dc:description/>
  <cp:lastModifiedBy>LPP Computer 2</cp:lastModifiedBy>
  <cp:revision>2</cp:revision>
  <dcterms:created xsi:type="dcterms:W3CDTF">2019-02-04T19:49:00Z</dcterms:created>
  <dcterms:modified xsi:type="dcterms:W3CDTF">2019-03-18T14:20:00Z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0x010100CE696D72FE1D8D4DADFE92D94F7D6C64</vt:lpwstr>
  </property>
  <property fmtid="{D5CDD505-2E9C-101B-9397-08002B2CF9AE}" pid="3" name="Order">
    <vt:r8>231500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