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A559" w14:textId="77777777" w:rsidR="009417ED" w:rsidRDefault="009417ED" w:rsidP="009417ED">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sidRPr="00FC2AA3">
        <w:rPr>
          <w:rFonts w:ascii="Times New Roman" w:eastAsia="Times New Roman" w:hAnsi="Times New Roman" w:cs="Times New Roman"/>
          <w:b/>
          <w:bCs/>
          <w:color w:val="000000"/>
          <w:sz w:val="28"/>
          <w:szCs w:val="28"/>
        </w:rPr>
        <w:t>WHAT TO DO IF YOU’RE A PRISONER WITH DISABILITIES</w:t>
      </w:r>
    </w:p>
    <w:p w14:paraId="45AEA55A" w14:textId="77777777" w:rsidR="00AF442E" w:rsidRPr="00FC2AA3" w:rsidRDefault="00AF442E" w:rsidP="009417ED">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ACLU: KNOW YOUR RIGHTS</w:t>
      </w:r>
    </w:p>
    <w:p w14:paraId="45AEA55B" w14:textId="77777777" w:rsidR="009417ED" w:rsidRPr="00FC2AA3" w:rsidRDefault="009417ED" w:rsidP="009417ED">
      <w:pPr>
        <w:spacing w:before="100" w:beforeAutospacing="1" w:after="100" w:afterAutospacing="1" w:line="240" w:lineRule="auto"/>
        <w:rPr>
          <w:rFonts w:ascii="Times New Roman" w:eastAsia="Times New Roman" w:hAnsi="Times New Roman" w:cs="Times New Roman"/>
          <w:i/>
          <w:color w:val="000000"/>
          <w:sz w:val="20"/>
          <w:szCs w:val="20"/>
        </w:rPr>
      </w:pPr>
      <w:r w:rsidRPr="00FC2AA3">
        <w:rPr>
          <w:rFonts w:ascii="Times New Roman" w:eastAsia="Times New Roman" w:hAnsi="Times New Roman" w:cs="Times New Roman"/>
          <w:b/>
          <w:bCs/>
          <w:i/>
          <w:color w:val="000000"/>
          <w:sz w:val="20"/>
          <w:szCs w:val="20"/>
        </w:rPr>
        <w:t>Important Note: </w:t>
      </w:r>
      <w:r w:rsidRPr="00FC2AA3">
        <w:rPr>
          <w:rFonts w:ascii="Times New Roman" w:eastAsia="Times New Roman" w:hAnsi="Times New Roman" w:cs="Times New Roman"/>
          <w:i/>
          <w:color w:val="000000"/>
          <w:sz w:val="20"/>
          <w:szCs w:val="20"/>
        </w:rPr>
        <w:t>The law is always evolving. If you have access to a prison law library, it is a good idea to confirm that the cases and statutes cited below are still good law. This information was updated in November 2012.</w:t>
      </w:r>
    </w:p>
    <w:p w14:paraId="45AEA55C" w14:textId="77777777" w:rsidR="009417ED" w:rsidRPr="00452691" w:rsidRDefault="009417ED" w:rsidP="009417ED">
      <w:pPr>
        <w:tabs>
          <w:tab w:val="center" w:pos="4680"/>
        </w:tabs>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1. Statutes protecting disabled prisoners </w:t>
      </w:r>
      <w:r>
        <w:rPr>
          <w:rFonts w:ascii="Times New Roman" w:eastAsia="Times New Roman" w:hAnsi="Times New Roman" w:cs="Times New Roman"/>
          <w:b/>
          <w:bCs/>
          <w:color w:val="000000"/>
        </w:rPr>
        <w:tab/>
      </w:r>
    </w:p>
    <w:p w14:paraId="45AEA55D"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Two major statutes exist to protect the rights of disabled prisoners: Section 504 of the Rehabilitation Act of 1973, 29 U.S.C. § 794(a), and Title II of the Americans with Disabilities Act, 42 U.S.C. § 12131, et seq.</w:t>
      </w:r>
      <w:r w:rsidRPr="00452691">
        <w:rPr>
          <w:rFonts w:ascii="Times New Roman" w:eastAsia="Times New Roman" w:hAnsi="Times New Roman" w:cs="Times New Roman"/>
          <w:color w:val="000000"/>
          <w:vertAlign w:val="superscript"/>
        </w:rPr>
        <w:t>1</w:t>
      </w:r>
      <w:r w:rsidRPr="00452691">
        <w:rPr>
          <w:rFonts w:ascii="Times New Roman" w:eastAsia="Times New Roman" w:hAnsi="Times New Roman" w:cs="Times New Roman"/>
          <w:color w:val="000000"/>
        </w:rPr>
        <w:t> In the prison and jail context, the Rehabilitation Act applies to facilities run by federal agencies (such as the Bureau of Prisons) and to any state or local agency that receives federal funding.</w:t>
      </w:r>
      <w:r w:rsidRPr="00452691">
        <w:rPr>
          <w:rFonts w:ascii="Times New Roman" w:eastAsia="Times New Roman" w:hAnsi="Times New Roman" w:cs="Times New Roman"/>
          <w:color w:val="000000"/>
          <w:vertAlign w:val="superscript"/>
        </w:rPr>
        <w:t>2</w:t>
      </w:r>
      <w:r w:rsidRPr="00452691">
        <w:rPr>
          <w:rFonts w:ascii="Times New Roman" w:eastAsia="Times New Roman" w:hAnsi="Times New Roman" w:cs="Times New Roman"/>
          <w:color w:val="000000"/>
        </w:rPr>
        <w:t> The ADA regulates facilities run by state and local agencies, regardless of whether they receive federal funding. </w:t>
      </w:r>
    </w:p>
    <w:p w14:paraId="45AEA55E"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Courts analyze claims under both the ADA and Rehabilitation Act in basically the same way.</w:t>
      </w:r>
      <w:r w:rsidRPr="00452691">
        <w:rPr>
          <w:rFonts w:ascii="Times New Roman" w:eastAsia="Times New Roman" w:hAnsi="Times New Roman" w:cs="Times New Roman"/>
          <w:color w:val="000000"/>
          <w:vertAlign w:val="superscript"/>
        </w:rPr>
        <w:t>3</w:t>
      </w:r>
      <w:r w:rsidRPr="00452691">
        <w:rPr>
          <w:rFonts w:ascii="Times New Roman" w:eastAsia="Times New Roman" w:hAnsi="Times New Roman" w:cs="Times New Roman"/>
          <w:color w:val="000000"/>
        </w:rPr>
        <w:t> Also, the ADA, which is newer, should give disabled people at least as many rights as the earlier Rehabilitation Act.</w:t>
      </w:r>
      <w:r w:rsidRPr="00452691">
        <w:rPr>
          <w:rFonts w:ascii="Times New Roman" w:eastAsia="Times New Roman" w:hAnsi="Times New Roman" w:cs="Times New Roman"/>
          <w:color w:val="000000"/>
          <w:vertAlign w:val="superscript"/>
        </w:rPr>
        <w:t>4</w:t>
      </w:r>
      <w:r w:rsidRPr="00452691">
        <w:rPr>
          <w:rFonts w:ascii="Times New Roman" w:eastAsia="Times New Roman" w:hAnsi="Times New Roman" w:cs="Times New Roman"/>
          <w:color w:val="000000"/>
        </w:rPr>
        <w:t> Thus, disabled prisoners may use cases about the Rehabilitation Act to help them interpret the ADA. </w:t>
      </w:r>
    </w:p>
    <w:p w14:paraId="45AEA55F"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In 2008, in response to court decisions that narrowly interpreted the original text of the ADA, Congress passed the ADA Amendments Act of 2008. The intent of the ADA Amendments Act of 2008 is to make courts focus on whether entities subject to the ADA have met their obligations to disabled people, rather than extensively analyzing whether a particular impairment is a disability.</w:t>
      </w:r>
      <w:r w:rsidRPr="00452691">
        <w:rPr>
          <w:rFonts w:ascii="Times New Roman" w:eastAsia="Times New Roman" w:hAnsi="Times New Roman" w:cs="Times New Roman"/>
          <w:color w:val="000000"/>
          <w:vertAlign w:val="superscript"/>
        </w:rPr>
        <w:t>5</w:t>
      </w:r>
      <w:r w:rsidRPr="00452691">
        <w:rPr>
          <w:rFonts w:ascii="Times New Roman" w:eastAsia="Times New Roman" w:hAnsi="Times New Roman" w:cs="Times New Roman"/>
          <w:color w:val="000000"/>
        </w:rPr>
        <w:t> Because of these amendments, many more disabled prisoners are entitled to protection than in prior years.</w:t>
      </w:r>
    </w:p>
    <w:p w14:paraId="45AEA560"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sidRPr="007E3243">
        <w:rPr>
          <w:rFonts w:ascii="Times New Roman" w:eastAsia="Times New Roman" w:hAnsi="Times New Roman" w:cs="Times New Roman"/>
          <w:color w:val="000000"/>
          <w:vertAlign w:val="superscript"/>
        </w:rPr>
        <w:t xml:space="preserve"> </w:t>
      </w:r>
      <w:r w:rsidRPr="00452691">
        <w:rPr>
          <w:rFonts w:ascii="Times New Roman" w:eastAsia="Times New Roman" w:hAnsi="Times New Roman" w:cs="Times New Roman"/>
          <w:color w:val="000000"/>
          <w:vertAlign w:val="subscript"/>
        </w:rPr>
        <w:t>See Penn. Dep't of Corrections v. Yeskey, 524 U.S. 206 (1998) (holding that the ADA "unmistakably includes State prisons and prisoners within its coverage"). See also 28 C.F.R. § 35.152 (ADA implementing regulations that apply specifically to adult and juvenile jails, detention, and correctional facilities).</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2</w:t>
      </w:r>
      <w:r w:rsidRPr="00452691">
        <w:rPr>
          <w:rFonts w:ascii="Times New Roman" w:eastAsia="Times New Roman" w:hAnsi="Times New Roman" w:cs="Times New Roman"/>
          <w:color w:val="000000"/>
          <w:vertAlign w:val="subscript"/>
        </w:rPr>
        <w:t xml:space="preserve"> Different regulations may apply depending on the source of the federal funding. For example, state and local agencies that receive funding from the U.S. Department of Justice must comply with the Department of Justice's regulations, which are located at 28 C.F.R. § 42.501 et seq. </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3</w:t>
      </w:r>
      <w:r w:rsidRPr="00452691">
        <w:rPr>
          <w:rFonts w:ascii="Times New Roman" w:eastAsia="Times New Roman" w:hAnsi="Times New Roman" w:cs="Times New Roman"/>
          <w:color w:val="000000"/>
          <w:vertAlign w:val="subscript"/>
        </w:rPr>
        <w:t xml:space="preserve"> See, e.g., Frame v. City of Arlington, 657 F.3d 215, 223-224 (5th Cir. 2011) ("Although we focus primarily on Title II, our analysis is informed by the Rehabilitation Act, and our holding applies to both statutes"). </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4</w:t>
      </w:r>
      <w:r w:rsidRPr="00452691">
        <w:rPr>
          <w:rFonts w:ascii="Times New Roman" w:eastAsia="Times New Roman" w:hAnsi="Times New Roman" w:cs="Times New Roman"/>
          <w:color w:val="000000"/>
          <w:vertAlign w:val="subscript"/>
        </w:rPr>
        <w:t xml:space="preserve"> Bragdon v. Abbott, 524 U.S. 624, 632 (1998), superseded by statute, ADA Amendments Act of 2008, Pub. L. No. 110-325, 122 Stat. 3553 (2008), as recognized in Miller v. McHugh, 814 F. Supp. 2d 299 (S.D.N.Y. 2011).</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5</w:t>
      </w:r>
      <w:r w:rsidRPr="00452691">
        <w:rPr>
          <w:rFonts w:ascii="Times New Roman" w:eastAsia="Times New Roman" w:hAnsi="Times New Roman" w:cs="Times New Roman"/>
          <w:color w:val="000000"/>
          <w:vertAlign w:val="subscript"/>
        </w:rPr>
        <w:t xml:space="preserve"> ADA Amendments Act of 2008, Pub. L. No. 110-325, 122 Stat. 3553, § 2(b) (2008).</w:t>
      </w:r>
    </w:p>
    <w:p w14:paraId="45AEA561" w14:textId="77777777" w:rsidR="009417ED" w:rsidRPr="00452691" w:rsidRDefault="009417ED" w:rsidP="009417ED">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2. How do you define disability?</w:t>
      </w:r>
    </w:p>
    <w:p w14:paraId="45AEA562"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The ADA defines "disability" as:</w:t>
      </w:r>
    </w:p>
    <w:p w14:paraId="45AEA563" w14:textId="77777777" w:rsidR="009417ED" w:rsidRPr="00452691" w:rsidRDefault="009417ED" w:rsidP="009417ED">
      <w:pPr>
        <w:spacing w:before="100" w:beforeAutospacing="1" w:after="100" w:afterAutospacing="1" w:line="240" w:lineRule="auto"/>
        <w:ind w:left="540"/>
        <w:rPr>
          <w:rFonts w:ascii="Times New Roman" w:eastAsia="Times New Roman" w:hAnsi="Times New Roman" w:cs="Times New Roman"/>
          <w:color w:val="000000"/>
        </w:rPr>
      </w:pPr>
      <w:r w:rsidRPr="00452691">
        <w:rPr>
          <w:rFonts w:ascii="Times New Roman" w:eastAsia="Times New Roman" w:hAnsi="Times New Roman" w:cs="Times New Roman"/>
          <w:color w:val="000000"/>
        </w:rPr>
        <w:t>(A) a physical or mental impairment that substantially limits one or more of the major life activities of such individual;</w:t>
      </w:r>
      <w:r w:rsidRPr="00452691">
        <w:rPr>
          <w:rFonts w:ascii="Times New Roman" w:eastAsia="Times New Roman" w:hAnsi="Times New Roman" w:cs="Times New Roman"/>
          <w:color w:val="000000"/>
        </w:rPr>
        <w:br/>
        <w:t>(B) a record of such an impairment; or</w:t>
      </w:r>
      <w:r w:rsidRPr="00452691">
        <w:rPr>
          <w:rFonts w:ascii="Times New Roman" w:eastAsia="Times New Roman" w:hAnsi="Times New Roman" w:cs="Times New Roman"/>
          <w:color w:val="000000"/>
        </w:rPr>
        <w:br/>
        <w:t>(C) being regarded as having such an impairment.</w:t>
      </w:r>
      <w:r w:rsidRPr="00452691">
        <w:rPr>
          <w:rFonts w:ascii="Times New Roman" w:eastAsia="Times New Roman" w:hAnsi="Times New Roman" w:cs="Times New Roman"/>
          <w:color w:val="000000"/>
          <w:vertAlign w:val="superscript"/>
        </w:rPr>
        <w:t>6</w:t>
      </w:r>
    </w:p>
    <w:p w14:paraId="45AEA564"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A "physical or mental impairment" could include hearing and vision problems, mental illness, physical disabilities, certain diseases, or many other conditions. "Major life activities" includes many private or public activities, such as seeing, hearing, sleeping, learning, reading, working, walking, various types of motion, or the operation of a major bodily function.</w:t>
      </w:r>
      <w:r w:rsidRPr="00452691">
        <w:rPr>
          <w:rFonts w:ascii="Times New Roman" w:eastAsia="Times New Roman" w:hAnsi="Times New Roman" w:cs="Times New Roman"/>
          <w:color w:val="000000"/>
          <w:vertAlign w:val="superscript"/>
        </w:rPr>
        <w:t>7</w:t>
      </w:r>
    </w:p>
    <w:p w14:paraId="45AEA565"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lastRenderedPageBreak/>
        <w:t>When Congress amended the ADA in 2008, it instructed the courts to interpret the phrase “substantially limits” generously.</w:t>
      </w:r>
      <w:r w:rsidRPr="00452691">
        <w:rPr>
          <w:rFonts w:ascii="Times New Roman" w:eastAsia="Times New Roman" w:hAnsi="Times New Roman" w:cs="Times New Roman"/>
          <w:color w:val="000000"/>
          <w:vertAlign w:val="superscript"/>
        </w:rPr>
        <w:t>8</w:t>
      </w:r>
      <w:r w:rsidRPr="00452691">
        <w:rPr>
          <w:rFonts w:ascii="Times New Roman" w:eastAsia="Times New Roman" w:hAnsi="Times New Roman" w:cs="Times New Roman"/>
          <w:color w:val="000000"/>
        </w:rPr>
        <w:t> Thus, despite what earlier court cases may say, the ADA considers a wide range of impairments to be disabilities regardless of whether they can be helped or controlled by medication, prosthetics, mobility devices, therapy, or other mitigating measures.</w:t>
      </w:r>
      <w:r w:rsidRPr="00452691">
        <w:rPr>
          <w:rFonts w:ascii="Times New Roman" w:eastAsia="Times New Roman" w:hAnsi="Times New Roman" w:cs="Times New Roman"/>
          <w:color w:val="000000"/>
          <w:vertAlign w:val="superscript"/>
        </w:rPr>
        <w:t>9</w:t>
      </w:r>
      <w:r w:rsidRPr="00452691">
        <w:rPr>
          <w:rFonts w:ascii="Times New Roman" w:eastAsia="Times New Roman" w:hAnsi="Times New Roman" w:cs="Times New Roman"/>
          <w:color w:val="000000"/>
        </w:rPr>
        <w:t> Additionally, it does not matter if a particular impairment happens to be intermittent or in remission: if it "would substantially limit a major life activity when active," the impairment is still a disability under the ADA.</w:t>
      </w:r>
      <w:r w:rsidRPr="00452691">
        <w:rPr>
          <w:rFonts w:ascii="Times New Roman" w:eastAsia="Times New Roman" w:hAnsi="Times New Roman" w:cs="Times New Roman"/>
          <w:color w:val="000000"/>
          <w:vertAlign w:val="superscript"/>
        </w:rPr>
        <w:t>10</w:t>
      </w:r>
    </w:p>
    <w:p w14:paraId="45AEA566"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Courts typically look at the facts of each lawsuit to decide if a person is disabled. Although most of the examples come from cases that were filed before the 2008 amendments to the ADA, these older cases still give guidance on how a court can do the analysis. In 1998, for example, the Supreme Court held that a person infected with HIV (human immunodeficiency virus, which is the virus that causes AIDS), may be disabled even if that person does not have any symptoms of the disease.</w:t>
      </w:r>
      <w:r w:rsidRPr="00452691">
        <w:rPr>
          <w:rFonts w:ascii="Times New Roman" w:eastAsia="Times New Roman" w:hAnsi="Times New Roman" w:cs="Times New Roman"/>
          <w:color w:val="000000"/>
          <w:vertAlign w:val="superscript"/>
        </w:rPr>
        <w:t>11</w:t>
      </w:r>
      <w:r w:rsidRPr="00452691">
        <w:rPr>
          <w:rFonts w:ascii="Times New Roman" w:eastAsia="Times New Roman" w:hAnsi="Times New Roman" w:cs="Times New Roman"/>
          <w:color w:val="000000"/>
        </w:rPr>
        <w:t> On the other hand, a person with multiple health conditions is disabled only if his ailments substantially limit participation in a major life activity.</w:t>
      </w:r>
      <w:r w:rsidRPr="00452691">
        <w:rPr>
          <w:rFonts w:ascii="Times New Roman" w:eastAsia="Times New Roman" w:hAnsi="Times New Roman" w:cs="Times New Roman"/>
          <w:color w:val="000000"/>
          <w:vertAlign w:val="superscript"/>
        </w:rPr>
        <w:t>12</w:t>
      </w:r>
    </w:p>
    <w:p w14:paraId="45AEA567"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6</w:t>
      </w:r>
      <w:r w:rsidRPr="007E3243">
        <w:rPr>
          <w:rFonts w:ascii="Times New Roman" w:eastAsia="Times New Roman" w:hAnsi="Times New Roman" w:cs="Times New Roman"/>
          <w:color w:val="000000"/>
          <w:vertAlign w:val="superscript"/>
        </w:rPr>
        <w:t xml:space="preserve"> </w:t>
      </w:r>
      <w:r w:rsidRPr="00452691">
        <w:rPr>
          <w:rFonts w:ascii="Times New Roman" w:eastAsia="Times New Roman" w:hAnsi="Times New Roman" w:cs="Times New Roman"/>
          <w:color w:val="000000"/>
          <w:vertAlign w:val="subscript"/>
        </w:rPr>
        <w:t>42 U.S.C. § 12102(1).</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7</w:t>
      </w:r>
      <w:r w:rsidRPr="00452691">
        <w:rPr>
          <w:rFonts w:ascii="Times New Roman" w:eastAsia="Times New Roman" w:hAnsi="Times New Roman" w:cs="Times New Roman"/>
          <w:color w:val="000000"/>
          <w:vertAlign w:val="subscript"/>
        </w:rPr>
        <w:t xml:space="preserve"> 42 U.S.C. § 12102(2).</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8</w:t>
      </w:r>
      <w:r w:rsidRPr="00452691">
        <w:rPr>
          <w:rFonts w:ascii="Times New Roman" w:eastAsia="Times New Roman" w:hAnsi="Times New Roman" w:cs="Times New Roman"/>
          <w:color w:val="000000"/>
          <w:vertAlign w:val="subscript"/>
        </w:rPr>
        <w:t xml:space="preserve"> See 42 U.S.C. § 12102(4).</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9</w:t>
      </w:r>
      <w:r w:rsidRPr="00452691">
        <w:rPr>
          <w:rFonts w:ascii="Times New Roman" w:eastAsia="Times New Roman" w:hAnsi="Times New Roman" w:cs="Times New Roman"/>
          <w:color w:val="000000"/>
          <w:vertAlign w:val="subscript"/>
        </w:rPr>
        <w:t> Id.</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10</w:t>
      </w:r>
      <w:r w:rsidRPr="00452691">
        <w:rPr>
          <w:rFonts w:ascii="Times New Roman" w:eastAsia="Times New Roman" w:hAnsi="Times New Roman" w:cs="Times New Roman"/>
          <w:color w:val="000000"/>
          <w:vertAlign w:val="subscript"/>
        </w:rPr>
        <w:t xml:space="preserve"> Id.</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11</w:t>
      </w:r>
      <w:r w:rsidRPr="00452691">
        <w:rPr>
          <w:rFonts w:ascii="Times New Roman" w:eastAsia="Times New Roman" w:hAnsi="Times New Roman" w:cs="Times New Roman"/>
          <w:color w:val="000000"/>
          <w:vertAlign w:val="subscript"/>
        </w:rPr>
        <w:t xml:space="preserve"> Bragdon, 524 U.S. at 641.</w:t>
      </w:r>
      <w:r w:rsidRPr="00452691">
        <w:rPr>
          <w:rFonts w:ascii="Times New Roman" w:eastAsia="Times New Roman" w:hAnsi="Times New Roman" w:cs="Times New Roman"/>
          <w:color w:val="000000"/>
          <w:vertAlign w:val="subscript"/>
        </w:rPr>
        <w:br/>
      </w:r>
      <w:r w:rsidRPr="007E3243">
        <w:rPr>
          <w:rFonts w:ascii="Times New Roman" w:eastAsia="Times New Roman" w:hAnsi="Times New Roman" w:cs="Times New Roman"/>
          <w:color w:val="000000"/>
          <w:vertAlign w:val="superscript"/>
        </w:rPr>
        <w:t>12</w:t>
      </w:r>
      <w:r>
        <w:rPr>
          <w:rFonts w:ascii="Times New Roman" w:eastAsia="Times New Roman" w:hAnsi="Times New Roman" w:cs="Times New Roman"/>
          <w:color w:val="000000"/>
          <w:vertAlign w:val="subscript"/>
        </w:rPr>
        <w:t xml:space="preserve"> </w:t>
      </w:r>
      <w:r w:rsidRPr="00452691">
        <w:rPr>
          <w:rFonts w:ascii="Times New Roman" w:eastAsia="Times New Roman" w:hAnsi="Times New Roman" w:cs="Times New Roman"/>
          <w:color w:val="000000"/>
          <w:vertAlign w:val="subscript"/>
        </w:rPr>
        <w:t>Hale v. King, 642 F.3d 492 (5th Cir. 2011) (finding that, although the inmate suffered from multiple conditions such as PTSD and Hepatitis C, he was not disabled). </w:t>
      </w:r>
    </w:p>
    <w:p w14:paraId="45AEA568" w14:textId="77777777" w:rsidR="009417ED" w:rsidRPr="00452691" w:rsidRDefault="009417ED" w:rsidP="009417ED">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3. Enforcing your legal rights</w:t>
      </w:r>
    </w:p>
    <w:p w14:paraId="45AEA569"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Title II of the ADA states: </w:t>
      </w:r>
    </w:p>
    <w:p w14:paraId="45AEA56A" w14:textId="77777777" w:rsidR="009417ED" w:rsidRPr="00452691" w:rsidRDefault="009417ED" w:rsidP="009417ED">
      <w:pPr>
        <w:spacing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[N]o qualified individual with a disability shall, by reason of such disability, be excluded from participation in or be denied the benefits of the services, programs, or activities of a public entity, or be subjected to discrimination by any such entity.</w:t>
      </w:r>
      <w:r w:rsidRPr="00452691">
        <w:rPr>
          <w:rFonts w:ascii="Times New Roman" w:eastAsia="Times New Roman" w:hAnsi="Times New Roman" w:cs="Times New Roman"/>
          <w:color w:val="000000"/>
          <w:vertAlign w:val="superscript"/>
        </w:rPr>
        <w:t>13</w:t>
      </w:r>
    </w:p>
    <w:p w14:paraId="45AEA56B"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To bring a lawsuit under the ADA and/or the Rehabilitation Act, disabled prisoners must show: (1) that they are disabled within the meaning of the statutes, (2) that they are "qualified" to participate in the program, and (3) that they are excluded from, are not allowed to benefit from, or have been subjected to discrimination in the program because of their disability.</w:t>
      </w:r>
      <w:r w:rsidRPr="00452691">
        <w:rPr>
          <w:rFonts w:ascii="Times New Roman" w:eastAsia="Times New Roman" w:hAnsi="Times New Roman" w:cs="Times New Roman"/>
          <w:color w:val="000000"/>
          <w:vertAlign w:val="superscript"/>
        </w:rPr>
        <w:t>14</w:t>
      </w:r>
      <w:r w:rsidRPr="00452691">
        <w:rPr>
          <w:rFonts w:ascii="Times New Roman" w:eastAsia="Times New Roman" w:hAnsi="Times New Roman" w:cs="Times New Roman"/>
          <w:color w:val="000000"/>
        </w:rPr>
        <w:t>Under the Rehabilitation Act, prisoners must additionally show that the prison officials or the governmental agency named as defendants receive federal funding.</w:t>
      </w:r>
      <w:r w:rsidRPr="00452691">
        <w:rPr>
          <w:rFonts w:ascii="Times New Roman" w:eastAsia="Times New Roman" w:hAnsi="Times New Roman" w:cs="Times New Roman"/>
          <w:color w:val="000000"/>
          <w:vertAlign w:val="superscript"/>
        </w:rPr>
        <w:t>15</w:t>
      </w:r>
      <w:r w:rsidRPr="00452691">
        <w:rPr>
          <w:rFonts w:ascii="Times New Roman" w:eastAsia="Times New Roman" w:hAnsi="Times New Roman" w:cs="Times New Roman"/>
          <w:color w:val="000000"/>
        </w:rPr>
        <w:t>Courts generally require factual evidence that shows a prisoner was qualified for a program and sought participation, but was denied entry based upon his or her actual or perceived disability.</w:t>
      </w:r>
      <w:r w:rsidRPr="00452691">
        <w:rPr>
          <w:rFonts w:ascii="Times New Roman" w:eastAsia="Times New Roman" w:hAnsi="Times New Roman" w:cs="Times New Roman"/>
          <w:color w:val="000000"/>
          <w:vertAlign w:val="superscript"/>
        </w:rPr>
        <w:t>16</w:t>
      </w:r>
      <w:r w:rsidRPr="00452691">
        <w:rPr>
          <w:rFonts w:ascii="Times New Roman" w:eastAsia="Times New Roman" w:hAnsi="Times New Roman" w:cs="Times New Roman"/>
          <w:color w:val="000000"/>
        </w:rPr>
        <w:t> Disabled prisoners are "qualified" to participate in a program under the ADA and the Rehabilitation Act if they meet the program requirements.</w:t>
      </w:r>
      <w:r w:rsidRPr="00452691">
        <w:rPr>
          <w:rFonts w:ascii="Times New Roman" w:eastAsia="Times New Roman" w:hAnsi="Times New Roman" w:cs="Times New Roman"/>
          <w:color w:val="000000"/>
          <w:vertAlign w:val="superscript"/>
        </w:rPr>
        <w:t>17</w:t>
      </w:r>
    </w:p>
    <w:p w14:paraId="45AEA56C"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Disabled prisoners may bring a lawsuit seeking either injunctive relief (i.e., seeking a change in policies or practices) or money damages (i.e., money in compensation for being wronged). If seeking money damages, however, sovereign immunity becomes an issue. Under the Eleventh Amendment, state governments have sovereign immunity (i.e., immunity from being sued by their own citizens) from many kinds of lawsuits.</w:t>
      </w:r>
      <w:r w:rsidRPr="00452691">
        <w:rPr>
          <w:rFonts w:ascii="Times New Roman" w:eastAsia="Times New Roman" w:hAnsi="Times New Roman" w:cs="Times New Roman"/>
          <w:color w:val="000000"/>
          <w:vertAlign w:val="superscript"/>
        </w:rPr>
        <w:t>18</w:t>
      </w:r>
    </w:p>
    <w:p w14:paraId="45AEA56D"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The sovereign immunity defense is not available for claims under the Rehabilitation Act, because the state’s acceptance of federal funds waives their sovereign immunity.</w:t>
      </w:r>
      <w:r w:rsidRPr="00452691">
        <w:rPr>
          <w:rFonts w:ascii="Times New Roman" w:eastAsia="Times New Roman" w:hAnsi="Times New Roman" w:cs="Times New Roman"/>
          <w:color w:val="000000"/>
          <w:vertAlign w:val="superscript"/>
        </w:rPr>
        <w:t>19</w:t>
      </w:r>
      <w:r w:rsidRPr="00452691">
        <w:rPr>
          <w:rFonts w:ascii="Times New Roman" w:eastAsia="Times New Roman" w:hAnsi="Times New Roman" w:cs="Times New Roman"/>
          <w:color w:val="000000"/>
        </w:rPr>
        <w:t xml:space="preserve"> Since almost all state and local </w:t>
      </w:r>
      <w:r w:rsidRPr="00452691">
        <w:rPr>
          <w:rFonts w:ascii="Times New Roman" w:eastAsia="Times New Roman" w:hAnsi="Times New Roman" w:cs="Times New Roman"/>
          <w:color w:val="000000"/>
        </w:rPr>
        <w:lastRenderedPageBreak/>
        <w:t>corrections departments and Sheriff’s offices receive some form of federal funding, disabled prisoners may seek money damages against them under a Rehabilitation Act claim. </w:t>
      </w:r>
    </w:p>
    <w:p w14:paraId="45AEA56E"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The situation is more complicated for claims brought under the ADA. Sovereign immunity is not a defense to an ADA case that seeks purely injunctive relief.</w:t>
      </w:r>
      <w:r w:rsidRPr="00452691">
        <w:rPr>
          <w:rFonts w:ascii="Times New Roman" w:eastAsia="Times New Roman" w:hAnsi="Times New Roman" w:cs="Times New Roman"/>
          <w:color w:val="000000"/>
          <w:vertAlign w:val="superscript"/>
        </w:rPr>
        <w:t>20</w:t>
      </w:r>
      <w:r w:rsidRPr="00452691">
        <w:rPr>
          <w:rFonts w:ascii="Times New Roman" w:eastAsia="Times New Roman" w:hAnsi="Times New Roman" w:cs="Times New Roman"/>
          <w:color w:val="000000"/>
        </w:rPr>
        <w:t> Additionally, the Supreme Court held in 2006 that sovereign immunity is not a defense to an ADA damages claim based on unconstitutional conduct. </w:t>
      </w:r>
      <w:r w:rsidRPr="00452691">
        <w:rPr>
          <w:rFonts w:ascii="Times New Roman" w:eastAsia="Times New Roman" w:hAnsi="Times New Roman" w:cs="Times New Roman"/>
          <w:color w:val="000000"/>
          <w:vertAlign w:val="superscript"/>
        </w:rPr>
        <w:t>21</w:t>
      </w:r>
      <w:r w:rsidRPr="00452691">
        <w:rPr>
          <w:rFonts w:ascii="Times New Roman" w:eastAsia="Times New Roman" w:hAnsi="Times New Roman" w:cs="Times New Roman"/>
          <w:color w:val="000000"/>
        </w:rPr>
        <w:t> In the prison context, this means that a disabled prisoner who is incarcerated in a state prison may sue the state for monetary damages under the ADA based on conduct that independently violates the Eighth Amendment’s prohibition against cruel and unusual punishment. What remains an unsettled question is whether disabled prisoners can seek damages for conduct that violates the ADA, but does not violate the Constitution.</w:t>
      </w:r>
      <w:r w:rsidRPr="00452691">
        <w:rPr>
          <w:rFonts w:ascii="Times New Roman" w:eastAsia="Times New Roman" w:hAnsi="Times New Roman" w:cs="Times New Roman"/>
          <w:color w:val="000000"/>
          <w:vertAlign w:val="superscript"/>
        </w:rPr>
        <w:t>22</w:t>
      </w:r>
    </w:p>
    <w:p w14:paraId="45AEA56F"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667154">
        <w:rPr>
          <w:rFonts w:ascii="Times New Roman" w:eastAsia="Times New Roman" w:hAnsi="Times New Roman" w:cs="Times New Roman"/>
          <w:color w:val="000000"/>
          <w:vertAlign w:val="superscript"/>
        </w:rPr>
        <w:t>13</w:t>
      </w:r>
      <w:r w:rsidRPr="00452691">
        <w:rPr>
          <w:rFonts w:ascii="Times New Roman" w:eastAsia="Times New Roman" w:hAnsi="Times New Roman" w:cs="Times New Roman"/>
          <w:color w:val="000000"/>
          <w:vertAlign w:val="subscript"/>
        </w:rPr>
        <w:t xml:space="preserve"> 42 U.S.C. § 12132.</w:t>
      </w:r>
      <w:r w:rsidRPr="00452691">
        <w:rPr>
          <w:rFonts w:ascii="Times New Roman" w:eastAsia="Times New Roman" w:hAnsi="Times New Roman" w:cs="Times New Roman"/>
          <w:color w:val="000000"/>
          <w:vertAlign w:val="subscript"/>
        </w:rPr>
        <w:br/>
      </w:r>
      <w:r w:rsidRPr="00667154">
        <w:rPr>
          <w:rFonts w:ascii="Times New Roman" w:eastAsia="Times New Roman" w:hAnsi="Times New Roman" w:cs="Times New Roman"/>
          <w:color w:val="000000"/>
          <w:vertAlign w:val="superscript"/>
        </w:rPr>
        <w:t>14</w:t>
      </w:r>
      <w:r w:rsidRPr="00452691">
        <w:rPr>
          <w:rFonts w:ascii="Times New Roman" w:eastAsia="Times New Roman" w:hAnsi="Times New Roman" w:cs="Times New Roman"/>
          <w:color w:val="000000"/>
          <w:vertAlign w:val="subscript"/>
        </w:rPr>
        <w:t xml:space="preserve"> 42 U.S.C. § 12132; 29 U.S.C. § 794(a).    </w:t>
      </w:r>
      <w:r w:rsidRPr="00452691">
        <w:rPr>
          <w:rFonts w:ascii="Times New Roman" w:eastAsia="Times New Roman" w:hAnsi="Times New Roman" w:cs="Times New Roman"/>
          <w:color w:val="000000"/>
          <w:vertAlign w:val="subscript"/>
        </w:rPr>
        <w:br/>
      </w:r>
      <w:r w:rsidRPr="00667154">
        <w:rPr>
          <w:rFonts w:ascii="Times New Roman" w:eastAsia="Times New Roman" w:hAnsi="Times New Roman" w:cs="Times New Roman"/>
          <w:color w:val="000000"/>
          <w:vertAlign w:val="superscript"/>
        </w:rPr>
        <w:t>15</w:t>
      </w:r>
      <w:r w:rsidRPr="00452691">
        <w:rPr>
          <w:rFonts w:ascii="Times New Roman" w:eastAsia="Times New Roman" w:hAnsi="Times New Roman" w:cs="Times New Roman"/>
          <w:color w:val="000000"/>
          <w:vertAlign w:val="subscript"/>
        </w:rPr>
        <w:t xml:space="preserve"> 29 U.S.C. § 794(a).</w:t>
      </w:r>
      <w:r w:rsidRPr="00452691">
        <w:rPr>
          <w:rFonts w:ascii="Times New Roman" w:eastAsia="Times New Roman" w:hAnsi="Times New Roman" w:cs="Times New Roman"/>
          <w:color w:val="000000"/>
          <w:vertAlign w:val="subscript"/>
        </w:rPr>
        <w:br/>
      </w:r>
      <w:r w:rsidRPr="00667154">
        <w:rPr>
          <w:rFonts w:ascii="Times New Roman" w:eastAsia="Times New Roman" w:hAnsi="Times New Roman" w:cs="Times New Roman"/>
          <w:color w:val="000000"/>
          <w:vertAlign w:val="superscript"/>
        </w:rPr>
        <w:t>16</w:t>
      </w:r>
      <w:r w:rsidRPr="00452691">
        <w:rPr>
          <w:rFonts w:ascii="Times New Roman" w:eastAsia="Times New Roman" w:hAnsi="Times New Roman" w:cs="Times New Roman"/>
          <w:color w:val="000000"/>
          <w:vertAlign w:val="subscript"/>
        </w:rPr>
        <w:t xml:space="preserve"> See, e.g., Lue v. Moore, 43 F.3d 1203, 1205-1206 (8th Cir. 1994) (blind inmate denied access to vocational training programs may bring claim for damages and affirmative relief under Rehabilitation Act, but denying relief because inmate failed to prove he had applied to programs or requested accommodations).</w:t>
      </w:r>
      <w:r w:rsidRPr="00452691">
        <w:rPr>
          <w:rFonts w:ascii="Times New Roman" w:eastAsia="Times New Roman" w:hAnsi="Times New Roman" w:cs="Times New Roman"/>
          <w:color w:val="000000"/>
          <w:vertAlign w:val="subscript"/>
        </w:rPr>
        <w:br/>
      </w:r>
      <w:r w:rsidRPr="00667154">
        <w:rPr>
          <w:rFonts w:ascii="Times New Roman" w:eastAsia="Times New Roman" w:hAnsi="Times New Roman" w:cs="Times New Roman"/>
          <w:color w:val="000000"/>
          <w:vertAlign w:val="superscript"/>
        </w:rPr>
        <w:t>17</w:t>
      </w:r>
      <w:r w:rsidRPr="00452691">
        <w:rPr>
          <w:rFonts w:ascii="Times New Roman" w:eastAsia="Times New Roman" w:hAnsi="Times New Roman" w:cs="Times New Roman"/>
          <w:color w:val="000000"/>
          <w:vertAlign w:val="subscript"/>
        </w:rPr>
        <w:t xml:space="preserve"> Under the ADA, a "qualified individual with a disability" means a disabled individual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 42 U.S.C. § 12131(2). The definition under the Rehabilitation Act is slightly different. See Southeastern Community College v. Davis, 442 U.S. 397, 406 (1979) (holding that under the Rehabilitation Act, "An otherwise qualified person is one who is able to meet all of a program's requirements in spite of his handicap"). </w:t>
      </w:r>
      <w:r w:rsidRPr="00452691">
        <w:rPr>
          <w:rFonts w:ascii="Times New Roman" w:eastAsia="Times New Roman" w:hAnsi="Times New Roman" w:cs="Times New Roman"/>
          <w:color w:val="000000"/>
          <w:vertAlign w:val="subscript"/>
        </w:rPr>
        <w:br/>
      </w:r>
      <w:r w:rsidRPr="00667154">
        <w:rPr>
          <w:rFonts w:ascii="Times New Roman" w:eastAsia="Times New Roman" w:hAnsi="Times New Roman" w:cs="Times New Roman"/>
          <w:color w:val="000000"/>
          <w:vertAlign w:val="superscript"/>
        </w:rPr>
        <w:t>18</w:t>
      </w:r>
      <w:r w:rsidRPr="00452691">
        <w:rPr>
          <w:rFonts w:ascii="Times New Roman" w:eastAsia="Times New Roman" w:hAnsi="Times New Roman" w:cs="Times New Roman"/>
          <w:color w:val="000000"/>
          <w:vertAlign w:val="subscript"/>
        </w:rPr>
        <w:t xml:space="preserve"> Nevada Dep’t of Human Resources, 538 U.S. 721, 726 (2003); College Sav. Bank v. Florida Prepaid Postsecondary Expense Bd., 527 U.S. 666, 675 (1999).</w:t>
      </w:r>
      <w:r w:rsidRPr="00452691">
        <w:rPr>
          <w:rFonts w:ascii="Times New Roman" w:eastAsia="Times New Roman" w:hAnsi="Times New Roman" w:cs="Times New Roman"/>
          <w:color w:val="000000"/>
          <w:vertAlign w:val="subscript"/>
        </w:rPr>
        <w:br/>
      </w:r>
      <w:r>
        <w:rPr>
          <w:rFonts w:ascii="Times New Roman" w:eastAsia="Times New Roman" w:hAnsi="Times New Roman" w:cs="Times New Roman"/>
          <w:color w:val="000000"/>
          <w:vertAlign w:val="superscript"/>
        </w:rPr>
        <w:t>19</w:t>
      </w:r>
      <w:r w:rsidRPr="00667154">
        <w:rPr>
          <w:rFonts w:ascii="Times New Roman" w:eastAsia="Times New Roman" w:hAnsi="Times New Roman" w:cs="Times New Roman"/>
          <w:color w:val="000000"/>
          <w:vertAlign w:val="superscript"/>
        </w:rPr>
        <w:t xml:space="preserve"> </w:t>
      </w:r>
      <w:r w:rsidRPr="00452691">
        <w:rPr>
          <w:rFonts w:ascii="Times New Roman" w:eastAsia="Times New Roman" w:hAnsi="Times New Roman" w:cs="Times New Roman"/>
          <w:color w:val="000000"/>
          <w:vertAlign w:val="subscript"/>
        </w:rPr>
        <w:t>See, e.g., Phiffer v. Columbia River Correctional Institute, 384 F.3d 791 (9th Cir. 2004); Garrett v. University of Ala. at Birmingham Bd. of Trustees, 344 F.3d 1288, 1293 (11th Cir. 2003). </w:t>
      </w:r>
      <w:r w:rsidRPr="00452691">
        <w:rPr>
          <w:rFonts w:ascii="Times New Roman" w:eastAsia="Times New Roman" w:hAnsi="Times New Roman" w:cs="Times New Roman"/>
          <w:color w:val="000000"/>
          <w:vertAlign w:val="subscript"/>
        </w:rPr>
        <w:br/>
      </w:r>
      <w:r>
        <w:rPr>
          <w:rFonts w:ascii="Times New Roman" w:eastAsia="Times New Roman" w:hAnsi="Times New Roman" w:cs="Times New Roman"/>
          <w:color w:val="000000"/>
          <w:vertAlign w:val="superscript"/>
        </w:rPr>
        <w:t>20</w:t>
      </w:r>
      <w:r w:rsidRPr="00667154">
        <w:rPr>
          <w:rFonts w:ascii="Times New Roman" w:eastAsia="Times New Roman" w:hAnsi="Times New Roman" w:cs="Times New Roman"/>
          <w:color w:val="000000"/>
          <w:vertAlign w:val="superscript"/>
        </w:rPr>
        <w:t xml:space="preserve"> </w:t>
      </w:r>
      <w:r w:rsidRPr="00452691">
        <w:rPr>
          <w:rFonts w:ascii="Times New Roman" w:eastAsia="Times New Roman" w:hAnsi="Times New Roman" w:cs="Times New Roman"/>
          <w:color w:val="000000"/>
          <w:vertAlign w:val="subscript"/>
        </w:rPr>
        <w:t>Bd. of Trustees of Univ. of Ala. v. Garrett, 531 U.S. 356, 374 n.9 (2001). </w:t>
      </w:r>
      <w:r w:rsidRPr="00452691">
        <w:rPr>
          <w:rFonts w:ascii="Times New Roman" w:eastAsia="Times New Roman" w:hAnsi="Times New Roman" w:cs="Times New Roman"/>
          <w:color w:val="000000"/>
          <w:vertAlign w:val="subscript"/>
        </w:rPr>
        <w:br/>
      </w:r>
      <w:r w:rsidRPr="00667154">
        <w:rPr>
          <w:rFonts w:ascii="Times New Roman" w:eastAsia="Times New Roman" w:hAnsi="Times New Roman" w:cs="Times New Roman"/>
          <w:color w:val="000000"/>
          <w:vertAlign w:val="superscript"/>
        </w:rPr>
        <w:t>21</w:t>
      </w:r>
      <w:r w:rsidRPr="00452691">
        <w:rPr>
          <w:rFonts w:ascii="Times New Roman" w:eastAsia="Times New Roman" w:hAnsi="Times New Roman" w:cs="Times New Roman"/>
          <w:color w:val="000000"/>
          <w:vertAlign w:val="subscript"/>
        </w:rPr>
        <w:t xml:space="preserve"> United States v. Georgia, 546 U.S. 151, 155-160 (2006). </w:t>
      </w:r>
      <w:r w:rsidRPr="00452691">
        <w:rPr>
          <w:rFonts w:ascii="Times New Roman" w:eastAsia="Times New Roman" w:hAnsi="Times New Roman" w:cs="Times New Roman"/>
          <w:color w:val="000000"/>
          <w:vertAlign w:val="subscript"/>
        </w:rPr>
        <w:br/>
      </w:r>
      <w:r w:rsidRPr="00667154">
        <w:rPr>
          <w:rFonts w:ascii="Times New Roman" w:eastAsia="Times New Roman" w:hAnsi="Times New Roman" w:cs="Times New Roman"/>
          <w:color w:val="000000"/>
          <w:vertAlign w:val="superscript"/>
        </w:rPr>
        <w:t>22</w:t>
      </w:r>
      <w:r w:rsidRPr="00452691">
        <w:rPr>
          <w:rFonts w:ascii="Times New Roman" w:eastAsia="Times New Roman" w:hAnsi="Times New Roman" w:cs="Times New Roman"/>
          <w:color w:val="000000"/>
          <w:vertAlign w:val="subscript"/>
        </w:rPr>
        <w:t xml:space="preserve"> See id. at 882. The Supreme Court has stated that, for conduct that violates the ADA but not the Constitution, lower courts must decide whether Title II nonetheless still validly abrogates sovereign immunity. The lower courts who have so far ruled on this issue have found Title II to validly abrogate sovereign immunity for claims by disabled students in public education. See, e.g., Goonewardena v. New York, 475 F. Supp. 2d 310, 326 (S.D.N.Y. 2007); Toledo v. Sanchez, 454 F.3d 24, 40 (1st Cir. 2006). However, all lower courts that have so far addressed the issue in the context of state prisons have held that a Title II damages claim does not validly abrogate sovereign immunity unless it is also based upon a constitutional violation. See Hale v. Mississippi, 2007 WL 3357562, at *8 (S.D. Miss. 2007); Chase v. Baskerville, 508 F. Supp. 2d 492, 503-04 (E.D. Va. 2007).</w:t>
      </w:r>
    </w:p>
    <w:p w14:paraId="45AEA570" w14:textId="77777777" w:rsidR="009417ED" w:rsidRPr="00452691" w:rsidRDefault="009417ED" w:rsidP="009417ED">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4. Which rights can be enforced?</w:t>
      </w:r>
    </w:p>
    <w:p w14:paraId="45AEA571"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Disabled prisoners have sued to get </w:t>
      </w:r>
      <w:r w:rsidRPr="00452691">
        <w:rPr>
          <w:rFonts w:ascii="Times New Roman" w:eastAsia="Times New Roman" w:hAnsi="Times New Roman" w:cs="Times New Roman"/>
          <w:i/>
          <w:iCs/>
          <w:color w:val="000000"/>
        </w:rPr>
        <w:t>equal access to facilities</w:t>
      </w:r>
      <w:r w:rsidRPr="00452691">
        <w:rPr>
          <w:rFonts w:ascii="Times New Roman" w:eastAsia="Times New Roman" w:hAnsi="Times New Roman" w:cs="Times New Roman"/>
          <w:color w:val="000000"/>
        </w:rPr>
        <w:t>, programs and services. For example, inmates and arrestees have sued to be able to use prison showers and toilets and to be protected from injury or the risk of injury.</w:t>
      </w:r>
      <w:r w:rsidRPr="00452691">
        <w:rPr>
          <w:rFonts w:ascii="Times New Roman" w:eastAsia="Times New Roman" w:hAnsi="Times New Roman" w:cs="Times New Roman"/>
          <w:color w:val="000000"/>
          <w:vertAlign w:val="superscript"/>
        </w:rPr>
        <w:t>23</w:t>
      </w:r>
      <w:r w:rsidRPr="00452691">
        <w:rPr>
          <w:rFonts w:ascii="Times New Roman" w:eastAsia="Times New Roman" w:hAnsi="Times New Roman" w:cs="Times New Roman"/>
          <w:color w:val="000000"/>
        </w:rPr>
        <w:t> Deaf and hearing-impaired prisoners have won cases to get sign language interpreters for disciplinary hearings, classification decisions, HIV-AIDS counseling, and educational and vocational programs.</w:t>
      </w:r>
      <w:r w:rsidRPr="00452691">
        <w:rPr>
          <w:rFonts w:ascii="Times New Roman" w:eastAsia="Times New Roman" w:hAnsi="Times New Roman" w:cs="Times New Roman"/>
          <w:color w:val="000000"/>
          <w:vertAlign w:val="superscript"/>
        </w:rPr>
        <w:t>24</w:t>
      </w:r>
    </w:p>
    <w:p w14:paraId="45AEA572"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Disabled prisoners have challenged inadequate medical care and prison officials' failure to provide them with medical supplies or devices such as wheelchairs or canes.</w:t>
      </w:r>
      <w:r w:rsidRPr="00452691">
        <w:rPr>
          <w:rFonts w:ascii="Times New Roman" w:eastAsia="Times New Roman" w:hAnsi="Times New Roman" w:cs="Times New Roman"/>
          <w:color w:val="000000"/>
          <w:vertAlign w:val="superscript"/>
        </w:rPr>
        <w:t>25</w:t>
      </w:r>
      <w:r w:rsidRPr="00452691">
        <w:rPr>
          <w:rFonts w:ascii="Times New Roman" w:eastAsia="Times New Roman" w:hAnsi="Times New Roman" w:cs="Times New Roman"/>
          <w:color w:val="000000"/>
        </w:rPr>
        <w:t> These cases may combine ADA claims with arguments that prison officials have violated the Eighth Amendment of the U.S. Constitution by being deliberately indifferent to prisoners’ serious medical needs.</w:t>
      </w:r>
      <w:r w:rsidRPr="00452691">
        <w:rPr>
          <w:rFonts w:ascii="Times New Roman" w:eastAsia="Times New Roman" w:hAnsi="Times New Roman" w:cs="Times New Roman"/>
          <w:color w:val="000000"/>
          <w:vertAlign w:val="superscript"/>
        </w:rPr>
        <w:t>26</w:t>
      </w:r>
    </w:p>
    <w:p w14:paraId="45AEA573"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Disabled prisoners have challenged their confinement in isolation and segregation units under the ADA and the Rehabilitation Act.</w:t>
      </w:r>
      <w:r w:rsidRPr="00452691">
        <w:rPr>
          <w:rFonts w:ascii="Times New Roman" w:eastAsia="Times New Roman" w:hAnsi="Times New Roman" w:cs="Times New Roman"/>
          <w:color w:val="000000"/>
          <w:vertAlign w:val="superscript"/>
        </w:rPr>
        <w:t>27</w:t>
      </w:r>
      <w:r w:rsidRPr="00452691">
        <w:rPr>
          <w:rFonts w:ascii="Times New Roman" w:eastAsia="Times New Roman" w:hAnsi="Times New Roman" w:cs="Times New Roman"/>
          <w:color w:val="000000"/>
        </w:rPr>
        <w:t xml:space="preserve"> In one case, for example, the Seventh Circuit ruled that prison officials discriminated against a quadriplegic prisoner in Indiana who was housed in an infirmary unit for over one </w:t>
      </w:r>
      <w:r w:rsidRPr="00452691">
        <w:rPr>
          <w:rFonts w:ascii="Times New Roman" w:eastAsia="Times New Roman" w:hAnsi="Times New Roman" w:cs="Times New Roman"/>
          <w:color w:val="000000"/>
        </w:rPr>
        <w:lastRenderedPageBreak/>
        <w:t>year and was thereby denied access to the dining hall, recreation area, visiting, church, work, transitional programs and the library.</w:t>
      </w:r>
      <w:r w:rsidRPr="00452691">
        <w:rPr>
          <w:rFonts w:ascii="Times New Roman" w:eastAsia="Times New Roman" w:hAnsi="Times New Roman" w:cs="Times New Roman"/>
          <w:color w:val="000000"/>
          <w:vertAlign w:val="superscript"/>
        </w:rPr>
        <w:t>28</w:t>
      </w:r>
    </w:p>
    <w:p w14:paraId="45AEA574"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Additionally, the U.S. Department of Justice issued prison and jail-specific ADA regulations in 2010. 28 C.F.R. § 35.152. These regulations require prisons and jails to, as a general rule, place disabled prisoners in the most integrated setting appropriate to their needs. This means that it is usually inappropriate to put disabled prisoners in inappropriate security classifications due to a lack of accessible cells or beds, place disabled prisoners in infirmary units if they are not actually receiving medical care or treatment, place disabled prisoners in facilities that do not offer the same programs as other facilities where they would otherwise be housed, or deprive disabled prisoners of family visits by placing them in distant facilities where they would not otherwise be housed. 28 C.F.R. § 35.152(b)(2).</w:t>
      </w:r>
    </w:p>
    <w:p w14:paraId="45AEA575"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23</w:t>
      </w:r>
      <w:r w:rsidRPr="00452691">
        <w:rPr>
          <w:rFonts w:ascii="Times New Roman" w:eastAsia="Times New Roman" w:hAnsi="Times New Roman" w:cs="Times New Roman"/>
          <w:color w:val="000000"/>
          <w:vertAlign w:val="subscript"/>
        </w:rPr>
        <w:t xml:space="preserve"> See Pierce v. County of Orange, 526 F.3d 1190, 1218-1220 (9th Cir. 2008); Gorman v. Easley, 257 F.3d 738 (8th Cir. 2001) (injury during transportation by police in vehicle without wheelchair restraints), rev'd on other grounds, Barnes v. Gorman, 536 US 181 (2002); Shariff v. Coombe, 655 F. Supp. 2d 274, 298-99 (S.D.N.Y. 2009) (inability of wheelchair-bound prisoners to access restrooms amounted to Eighth Amendment violation); Kaufman v. Carter, 952 F.Supp. 520, 523-24 (W.D. Mich. 1996) (failure to provide access to bathrooms and showers).</w:t>
      </w:r>
      <w:r w:rsidRPr="00452691">
        <w:rPr>
          <w:rFonts w:ascii="Times New Roman" w:eastAsia="Times New Roman" w:hAnsi="Times New Roman" w:cs="Times New Roman"/>
          <w:color w:val="000000"/>
          <w:vertAlign w:val="subscript"/>
        </w:rPr>
        <w:br/>
      </w:r>
      <w:r>
        <w:rPr>
          <w:rFonts w:ascii="Times New Roman" w:eastAsia="Times New Roman" w:hAnsi="Times New Roman" w:cs="Times New Roman"/>
          <w:color w:val="000000"/>
          <w:vertAlign w:val="superscript"/>
        </w:rPr>
        <w:t>24</w:t>
      </w:r>
      <w:r w:rsidRPr="00452691">
        <w:rPr>
          <w:rFonts w:ascii="Times New Roman" w:eastAsia="Times New Roman" w:hAnsi="Times New Roman" w:cs="Times New Roman"/>
          <w:color w:val="000000"/>
          <w:vertAlign w:val="subscript"/>
        </w:rPr>
        <w:t xml:space="preserve"> Bonner v. Lewis, 857 F.2d 559 (9th Cir. 1988); Duffy v. Riveland, 98 F.3d 447 (9th Cir. 1996); Clarkson v. Coughlin, 898 F.Supp. 1019, 1027-32 (S.D.N.Y. 1995).</w:t>
      </w:r>
      <w:r w:rsidRPr="00452691">
        <w:rPr>
          <w:rFonts w:ascii="Times New Roman" w:eastAsia="Times New Roman" w:hAnsi="Times New Roman" w:cs="Times New Roman"/>
          <w:color w:val="000000"/>
          <w:vertAlign w:val="subscript"/>
        </w:rPr>
        <w:br/>
      </w:r>
      <w:r>
        <w:rPr>
          <w:rFonts w:ascii="Times New Roman" w:eastAsia="Times New Roman" w:hAnsi="Times New Roman" w:cs="Times New Roman"/>
          <w:color w:val="000000"/>
          <w:vertAlign w:val="superscript"/>
        </w:rPr>
        <w:t>25</w:t>
      </w:r>
      <w:r w:rsidRPr="00452691">
        <w:rPr>
          <w:rFonts w:ascii="Times New Roman" w:eastAsia="Times New Roman" w:hAnsi="Times New Roman" w:cs="Times New Roman"/>
          <w:color w:val="000000"/>
          <w:vertAlign w:val="subscript"/>
        </w:rPr>
        <w:t> Saunders v. Horn, 960 F. Supp. 893 (E.D. Pa. 1997) (failure to provide orthopedic shoes and cane); Herndon v. Johnson, 970 F.Supp. 703 (E.D. Ark. 1997).</w:t>
      </w:r>
      <w:r w:rsidRPr="00452691">
        <w:rPr>
          <w:rFonts w:ascii="Times New Roman" w:eastAsia="Times New Roman" w:hAnsi="Times New Roman" w:cs="Times New Roman"/>
          <w:color w:val="000000"/>
          <w:vertAlign w:val="subscript"/>
        </w:rPr>
        <w:br/>
      </w:r>
      <w:r w:rsidRPr="0035224D">
        <w:rPr>
          <w:rFonts w:ascii="Times New Roman" w:eastAsia="Times New Roman" w:hAnsi="Times New Roman" w:cs="Times New Roman"/>
          <w:color w:val="000000"/>
          <w:vertAlign w:val="superscript"/>
        </w:rPr>
        <w:t>26</w:t>
      </w:r>
      <w:r w:rsidRPr="00452691">
        <w:rPr>
          <w:rFonts w:ascii="Times New Roman" w:eastAsia="Times New Roman" w:hAnsi="Times New Roman" w:cs="Times New Roman"/>
          <w:color w:val="000000"/>
          <w:vertAlign w:val="subscript"/>
        </w:rPr>
        <w:t xml:space="preserve"> See, e.g., Kaufman, 952 F.Supp. 520.</w:t>
      </w:r>
      <w:r w:rsidRPr="00452691">
        <w:rPr>
          <w:rFonts w:ascii="Times New Roman" w:eastAsia="Times New Roman" w:hAnsi="Times New Roman" w:cs="Times New Roman"/>
          <w:color w:val="000000"/>
          <w:vertAlign w:val="subscript"/>
        </w:rPr>
        <w:br/>
      </w:r>
      <w:r w:rsidRPr="0035224D">
        <w:rPr>
          <w:rFonts w:ascii="Times New Roman" w:eastAsia="Times New Roman" w:hAnsi="Times New Roman" w:cs="Times New Roman"/>
          <w:color w:val="000000"/>
          <w:vertAlign w:val="superscript"/>
        </w:rPr>
        <w:t>27</w:t>
      </w:r>
      <w:r w:rsidRPr="00452691">
        <w:rPr>
          <w:rFonts w:ascii="Times New Roman" w:eastAsia="Times New Roman" w:hAnsi="Times New Roman" w:cs="Times New Roman"/>
          <w:color w:val="000000"/>
          <w:vertAlign w:val="subscript"/>
        </w:rPr>
        <w:t xml:space="preserve"> Carty v. Farrelly, 957 F.Supp. 727, 741 (D.V.I. 1997) (prison officials violated ADA by housing inmate not suffering from mental illness with mentally ill prisoners because his cane was considered security threat).</w:t>
      </w:r>
      <w:r w:rsidRPr="00452691">
        <w:rPr>
          <w:rFonts w:ascii="Times New Roman" w:eastAsia="Times New Roman" w:hAnsi="Times New Roman" w:cs="Times New Roman"/>
          <w:color w:val="000000"/>
          <w:vertAlign w:val="subscript"/>
        </w:rPr>
        <w:br/>
      </w:r>
      <w:r>
        <w:rPr>
          <w:rFonts w:ascii="Times New Roman" w:eastAsia="Times New Roman" w:hAnsi="Times New Roman" w:cs="Times New Roman"/>
          <w:color w:val="000000"/>
          <w:vertAlign w:val="superscript"/>
        </w:rPr>
        <w:t>28</w:t>
      </w:r>
      <w:r w:rsidRPr="00452691">
        <w:rPr>
          <w:rFonts w:ascii="Times New Roman" w:eastAsia="Times New Roman" w:hAnsi="Times New Roman" w:cs="Times New Roman"/>
          <w:color w:val="000000"/>
          <w:vertAlign w:val="subscript"/>
        </w:rPr>
        <w:t xml:space="preserve"> See Love v. Westville Correctional Center, 103 F.3d 558 (7th Cir. 1996).</w:t>
      </w:r>
    </w:p>
    <w:p w14:paraId="45AEA576" w14:textId="77777777" w:rsidR="009417ED" w:rsidRPr="00452691" w:rsidRDefault="009417ED" w:rsidP="009417ED">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5. Limitations on these rights</w:t>
      </w:r>
    </w:p>
    <w:p w14:paraId="45AEA577"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Prison officials are not required to provide accommodations that impose "undue financial and administrative burdens" or require "a fundamental alteration in the nature of [the] program."</w:t>
      </w:r>
      <w:r w:rsidRPr="00452691">
        <w:rPr>
          <w:rFonts w:ascii="Times New Roman" w:eastAsia="Times New Roman" w:hAnsi="Times New Roman" w:cs="Times New Roman"/>
          <w:color w:val="000000"/>
          <w:vertAlign w:val="superscript"/>
        </w:rPr>
        <w:t>29</w:t>
      </w:r>
      <w:r w:rsidRPr="00452691">
        <w:rPr>
          <w:rFonts w:ascii="Times New Roman" w:eastAsia="Times New Roman" w:hAnsi="Times New Roman" w:cs="Times New Roman"/>
          <w:color w:val="000000"/>
        </w:rPr>
        <w:t> Prison officials are also allowed to discriminate if the disabled prisoners’ participation would pose "significant health and safety risks" or a "direct threat" to others.</w:t>
      </w:r>
      <w:r w:rsidRPr="00452691">
        <w:rPr>
          <w:rFonts w:ascii="Times New Roman" w:eastAsia="Times New Roman" w:hAnsi="Times New Roman" w:cs="Times New Roman"/>
          <w:color w:val="000000"/>
          <w:vertAlign w:val="superscript"/>
        </w:rPr>
        <w:t>30</w:t>
      </w:r>
      <w:r w:rsidRPr="00452691">
        <w:rPr>
          <w:rFonts w:ascii="Times New Roman" w:eastAsia="Times New Roman" w:hAnsi="Times New Roman" w:cs="Times New Roman"/>
          <w:color w:val="000000"/>
        </w:rPr>
        <w:t> Finally, some courts have said that prison officials can discriminate against disabled prisoners as long as the discriminatory policies serve "legitimate penological interests."</w:t>
      </w:r>
      <w:r w:rsidRPr="00452691">
        <w:rPr>
          <w:rFonts w:ascii="Times New Roman" w:eastAsia="Times New Roman" w:hAnsi="Times New Roman" w:cs="Times New Roman"/>
          <w:color w:val="000000"/>
          <w:vertAlign w:val="superscript"/>
        </w:rPr>
        <w:t>31</w:t>
      </w:r>
    </w:p>
    <w:p w14:paraId="45AEA578"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29</w:t>
      </w:r>
      <w:r w:rsidRPr="00894A19">
        <w:rPr>
          <w:rFonts w:ascii="Times New Roman" w:eastAsia="Times New Roman" w:hAnsi="Times New Roman" w:cs="Times New Roman"/>
          <w:color w:val="000000"/>
          <w:vertAlign w:val="superscript"/>
        </w:rPr>
        <w:t xml:space="preserve"> </w:t>
      </w:r>
      <w:r w:rsidRPr="00452691">
        <w:rPr>
          <w:rFonts w:ascii="Times New Roman" w:eastAsia="Times New Roman" w:hAnsi="Times New Roman" w:cs="Times New Roman"/>
          <w:color w:val="000000"/>
          <w:vertAlign w:val="subscript"/>
        </w:rPr>
        <w:t>Southeastern Community College, 442 U.S. at 406.</w:t>
      </w:r>
      <w:r w:rsidRPr="00452691">
        <w:rPr>
          <w:rFonts w:ascii="Times New Roman" w:eastAsia="Times New Roman" w:hAnsi="Times New Roman" w:cs="Times New Roman"/>
          <w:color w:val="000000"/>
          <w:vertAlign w:val="subscript"/>
        </w:rPr>
        <w:br/>
      </w:r>
      <w:r w:rsidRPr="00894A19">
        <w:rPr>
          <w:rFonts w:ascii="Times New Roman" w:eastAsia="Times New Roman" w:hAnsi="Times New Roman" w:cs="Times New Roman"/>
          <w:color w:val="000000"/>
          <w:vertAlign w:val="superscript"/>
        </w:rPr>
        <w:t>30</w:t>
      </w:r>
      <w:r w:rsidRPr="00452691">
        <w:rPr>
          <w:rFonts w:ascii="Times New Roman" w:eastAsia="Times New Roman" w:hAnsi="Times New Roman" w:cs="Times New Roman"/>
          <w:color w:val="000000"/>
          <w:vertAlign w:val="subscript"/>
        </w:rPr>
        <w:t xml:space="preserve"> School Bd. of Nassau County v. Arline, 480 U.S. 273, 287 (1987) (holding that a person who poses a significant risk to others is not "otherwise qualified" for the activity, establishing a four-part test for determining whether contagious disease constitutes such a risk); 42 U.S.C. § 12182(b)(3).</w:t>
      </w:r>
      <w:r w:rsidRPr="00452691">
        <w:rPr>
          <w:rFonts w:ascii="Times New Roman" w:eastAsia="Times New Roman" w:hAnsi="Times New Roman" w:cs="Times New Roman"/>
          <w:color w:val="000000"/>
          <w:vertAlign w:val="subscript"/>
        </w:rPr>
        <w:br/>
      </w:r>
      <w:r w:rsidRPr="00894A19">
        <w:rPr>
          <w:rFonts w:ascii="Times New Roman" w:eastAsia="Times New Roman" w:hAnsi="Times New Roman" w:cs="Times New Roman"/>
          <w:color w:val="000000"/>
          <w:vertAlign w:val="superscript"/>
        </w:rPr>
        <w:t>31</w:t>
      </w:r>
      <w:r>
        <w:rPr>
          <w:rFonts w:ascii="Times New Roman" w:eastAsia="Times New Roman" w:hAnsi="Times New Roman" w:cs="Times New Roman"/>
          <w:color w:val="000000"/>
          <w:vertAlign w:val="subscript"/>
        </w:rPr>
        <w:t xml:space="preserve"> </w:t>
      </w:r>
      <w:r w:rsidRPr="00452691">
        <w:rPr>
          <w:rFonts w:ascii="Times New Roman" w:eastAsia="Times New Roman" w:hAnsi="Times New Roman" w:cs="Times New Roman"/>
          <w:color w:val="000000"/>
          <w:vertAlign w:val="subscript"/>
        </w:rPr>
        <w:t>Gates v. Rowland, 39 F.3d 1439, 1446-47 (9th Cir.1994) (upholding discriminatory policy on security grounds based on unsubstantiated fears of other prisoners); cf. Yeskey v. Penn. Dep’t of Corrections, 118 F.3d 168, 174-75 (3rd Cir. 1997) (holding that prison management decisions that may violate a state prisoner's rights are subject to a "reasonableness" test).</w:t>
      </w:r>
    </w:p>
    <w:p w14:paraId="45AEA579" w14:textId="77777777" w:rsidR="009417ED" w:rsidRPr="00452691" w:rsidRDefault="009417ED" w:rsidP="009417ED">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6. Alternatives to the ADA and Rehabilitation Act</w:t>
      </w:r>
    </w:p>
    <w:p w14:paraId="45AEA57A"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Depending on the situation, disabled prisoners may file claims for relief based on the United States Constitution either in addition to, or instead of, ADA and Rehabilitation Act claims. The Eighth Amendment prohibits any form of cruel or unusual punishment. For example, federal or state prison officials violate the Eighth Amendment when staff members are deliberately indifferent to the serious medical needs of prisoners, including the special requirements of disabled inmates.</w:t>
      </w:r>
      <w:r w:rsidRPr="00452691">
        <w:rPr>
          <w:rFonts w:ascii="Times New Roman" w:eastAsia="Times New Roman" w:hAnsi="Times New Roman" w:cs="Times New Roman"/>
          <w:color w:val="000000"/>
          <w:vertAlign w:val="superscript"/>
        </w:rPr>
        <w:t>32</w:t>
      </w:r>
    </w:p>
    <w:p w14:paraId="45AEA57B"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 xml:space="preserve">The Fifth and Fourteenth Amendments prohibit government officials from depriving persons of life, liberty or property without "due process" of law, and the Fourteenth Amendment requires that all citizens </w:t>
      </w:r>
      <w:r w:rsidRPr="00452691">
        <w:rPr>
          <w:rFonts w:ascii="Times New Roman" w:eastAsia="Times New Roman" w:hAnsi="Times New Roman" w:cs="Times New Roman"/>
          <w:color w:val="000000"/>
        </w:rPr>
        <w:lastRenderedPageBreak/>
        <w:t>receive the "equal protection" of the law.</w:t>
      </w:r>
      <w:r w:rsidRPr="00452691">
        <w:rPr>
          <w:rFonts w:ascii="Times New Roman" w:eastAsia="Times New Roman" w:hAnsi="Times New Roman" w:cs="Times New Roman"/>
          <w:color w:val="000000"/>
          <w:vertAlign w:val="superscript"/>
        </w:rPr>
        <w:t>33</w:t>
      </w:r>
      <w:r w:rsidRPr="00452691">
        <w:rPr>
          <w:rFonts w:ascii="Times New Roman" w:eastAsia="Times New Roman" w:hAnsi="Times New Roman" w:cs="Times New Roman"/>
          <w:color w:val="000000"/>
        </w:rPr>
        <w:t> Thus, prison officials may violate the Constitution if they discriminate against disabled inmates on the basis of their disabilities.</w:t>
      </w:r>
      <w:r w:rsidRPr="00452691">
        <w:rPr>
          <w:rFonts w:ascii="Times New Roman" w:eastAsia="Times New Roman" w:hAnsi="Times New Roman" w:cs="Times New Roman"/>
          <w:color w:val="000000"/>
          <w:vertAlign w:val="superscript"/>
        </w:rPr>
        <w:t>34</w:t>
      </w:r>
      <w:r w:rsidRPr="00452691">
        <w:rPr>
          <w:rFonts w:ascii="Times New Roman" w:eastAsia="Times New Roman" w:hAnsi="Times New Roman" w:cs="Times New Roman"/>
          <w:color w:val="000000"/>
        </w:rPr>
        <w:t> However, to win an equal protection claim, disabled persons must prove that there is no legitimate government reason for the discriminatory policy.</w:t>
      </w:r>
      <w:r w:rsidRPr="00452691">
        <w:rPr>
          <w:rFonts w:ascii="Times New Roman" w:eastAsia="Times New Roman" w:hAnsi="Times New Roman" w:cs="Times New Roman"/>
          <w:color w:val="000000"/>
          <w:vertAlign w:val="superscript"/>
        </w:rPr>
        <w:t>35</w:t>
      </w:r>
      <w:r w:rsidRPr="00452691">
        <w:rPr>
          <w:rFonts w:ascii="Times New Roman" w:eastAsia="Times New Roman" w:hAnsi="Times New Roman" w:cs="Times New Roman"/>
          <w:color w:val="000000"/>
        </w:rPr>
        <w:t> This is a very difficult standard for prisoners to meet because courts generally give prison officials wide discretion in administering correctional facilities.</w:t>
      </w:r>
      <w:r w:rsidRPr="00452691">
        <w:rPr>
          <w:rFonts w:ascii="Times New Roman" w:eastAsia="Times New Roman" w:hAnsi="Times New Roman" w:cs="Times New Roman"/>
          <w:color w:val="000000"/>
          <w:vertAlign w:val="superscript"/>
        </w:rPr>
        <w:t>36</w:t>
      </w:r>
    </w:p>
    <w:p w14:paraId="45AEA57C" w14:textId="77777777" w:rsidR="009417ED" w:rsidRPr="00452691" w:rsidRDefault="009417ED" w:rsidP="009417ED">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￼Finally, the laws of some states may provide different or greater legal rights than the federal laws discussed in this information sheet. Disabled prisoners should investigate this possibility before bringing suit.</w:t>
      </w:r>
    </w:p>
    <w:p w14:paraId="45AEA57D" w14:textId="77777777" w:rsidR="009417ED" w:rsidRPr="00BD2120" w:rsidRDefault="009417ED" w:rsidP="009417E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32</w:t>
      </w:r>
      <w:r w:rsidRPr="00894A19">
        <w:rPr>
          <w:rFonts w:ascii="Times New Roman" w:eastAsia="Times New Roman" w:hAnsi="Times New Roman" w:cs="Times New Roman"/>
          <w:color w:val="000000"/>
          <w:vertAlign w:val="superscript"/>
        </w:rPr>
        <w:t xml:space="preserve"> </w:t>
      </w:r>
      <w:r w:rsidRPr="00452691">
        <w:rPr>
          <w:rFonts w:ascii="Times New Roman" w:eastAsia="Times New Roman" w:hAnsi="Times New Roman" w:cs="Times New Roman"/>
          <w:color w:val="000000"/>
          <w:vertAlign w:val="subscript"/>
        </w:rPr>
        <w:t>Estelle v. Gamble, 429 U.S. 97 (1976) (deliberate indifference to prisoners’ serious medical needs constitutes cruel and unusual punishment); see, e.g., Hunt v. Uphoff, 199 F.3d 1220 (10th Cir. 1999) (prison officials violated Eighth Amendment by providing such inadequate medical treatment for inmate’s diabetes and hypertension that inmate consequently suffered heart attack); LaFaut v. Smith, 834 F.2d 389 (4th Cir. 1987) (prison officials violated Eighth Amendment by failing to provide disabled inmate with needed physical therapy and adequate access to facilities); Madrid v. Gomez, 889 F. Supp. 1146, 1265-66 (N.D. Ca. 1995) (continued confinement of mentally ill inmates in the facility’s security housing unit violated the Eighth Amendment); Felix-Torres v. Graham, 521 F. Supp. 2d 157 (N.D.N.Y. 2007) (prison officials violated Eighth Amendment by failing to assign inmate suffering from diabetic seizures to bottom bunk).</w:t>
      </w:r>
      <w:r w:rsidRPr="00452691">
        <w:rPr>
          <w:rFonts w:ascii="Times New Roman" w:eastAsia="Times New Roman" w:hAnsi="Times New Roman" w:cs="Times New Roman"/>
          <w:color w:val="000000"/>
          <w:vertAlign w:val="subscript"/>
        </w:rPr>
        <w:br/>
      </w:r>
      <w:r w:rsidRPr="00894A19">
        <w:rPr>
          <w:rFonts w:ascii="Times New Roman" w:eastAsia="Times New Roman" w:hAnsi="Times New Roman" w:cs="Times New Roman"/>
          <w:color w:val="000000"/>
          <w:vertAlign w:val="superscript"/>
        </w:rPr>
        <w:t>33</w:t>
      </w:r>
      <w:r w:rsidRPr="00452691">
        <w:rPr>
          <w:rFonts w:ascii="Times New Roman" w:eastAsia="Times New Roman" w:hAnsi="Times New Roman" w:cs="Times New Roman"/>
          <w:color w:val="000000"/>
          <w:vertAlign w:val="subscript"/>
        </w:rPr>
        <w:t xml:space="preserve"> The Fourteenth Amendment governs actions by state governments and the Fifth Amendment governs actions by the federal government.</w:t>
      </w:r>
      <w:r w:rsidRPr="00452691">
        <w:rPr>
          <w:rFonts w:ascii="Times New Roman" w:eastAsia="Times New Roman" w:hAnsi="Times New Roman" w:cs="Times New Roman"/>
          <w:color w:val="000000"/>
          <w:vertAlign w:val="subscript"/>
        </w:rPr>
        <w:br/>
      </w:r>
      <w:r w:rsidRPr="00894A19">
        <w:rPr>
          <w:rFonts w:ascii="Times New Roman" w:eastAsia="Times New Roman" w:hAnsi="Times New Roman" w:cs="Times New Roman"/>
          <w:color w:val="000000"/>
          <w:vertAlign w:val="superscript"/>
        </w:rPr>
        <w:t>34</w:t>
      </w:r>
      <w:r w:rsidRPr="00452691">
        <w:rPr>
          <w:rFonts w:ascii="Times New Roman" w:eastAsia="Times New Roman" w:hAnsi="Times New Roman" w:cs="Times New Roman"/>
          <w:color w:val="000000"/>
          <w:vertAlign w:val="subscript"/>
        </w:rPr>
        <w:t xml:space="preserve"> See, e.g., Williams v. Meese, 926 F.2d 994, 998 (10th Cir. 1991) (federal inmate could not bring employment discrimination claim under Rehabilitation Act but could do so under Fifth Amendment, because "prison officials cannot discriminate against him on the basis of his age, race, or handicap...").</w:t>
      </w:r>
      <w:r w:rsidRPr="00452691">
        <w:rPr>
          <w:rFonts w:ascii="Times New Roman" w:eastAsia="Times New Roman" w:hAnsi="Times New Roman" w:cs="Times New Roman"/>
          <w:color w:val="000000"/>
          <w:vertAlign w:val="subscript"/>
        </w:rPr>
        <w:br/>
      </w:r>
      <w:r w:rsidRPr="00894A19">
        <w:rPr>
          <w:rFonts w:ascii="Times New Roman" w:eastAsia="Times New Roman" w:hAnsi="Times New Roman" w:cs="Times New Roman"/>
          <w:color w:val="000000"/>
          <w:vertAlign w:val="superscript"/>
        </w:rPr>
        <w:t>35</w:t>
      </w:r>
      <w:r w:rsidRPr="00452691">
        <w:rPr>
          <w:rFonts w:ascii="Times New Roman" w:eastAsia="Times New Roman" w:hAnsi="Times New Roman" w:cs="Times New Roman"/>
          <w:color w:val="000000"/>
          <w:vertAlign w:val="subscript"/>
        </w:rPr>
        <w:t xml:space="preserve"> Whitington v. Moschetti, 423 F. App’x 767, 770 (10th Cir. 2011); Contractors Ass'n of E. Pa., Inc. v. City of Philadelphia, 6 F.3d 990, 1001 (3rd Cir.1993).</w:t>
      </w:r>
      <w:r w:rsidRPr="00452691">
        <w:rPr>
          <w:rFonts w:ascii="Times New Roman" w:eastAsia="Times New Roman" w:hAnsi="Times New Roman" w:cs="Times New Roman"/>
          <w:color w:val="000000"/>
          <w:vertAlign w:val="subscript"/>
        </w:rPr>
        <w:br/>
      </w:r>
      <w:r w:rsidRPr="00894A19">
        <w:rPr>
          <w:rFonts w:ascii="Times New Roman" w:eastAsia="Times New Roman" w:hAnsi="Times New Roman" w:cs="Times New Roman"/>
          <w:color w:val="000000"/>
          <w:vertAlign w:val="superscript"/>
        </w:rPr>
        <w:t>36</w:t>
      </w:r>
      <w:r w:rsidRPr="00452691">
        <w:rPr>
          <w:rFonts w:ascii="Times New Roman" w:eastAsia="Times New Roman" w:hAnsi="Times New Roman" w:cs="Times New Roman"/>
          <w:color w:val="000000"/>
          <w:vertAlign w:val="subscript"/>
        </w:rPr>
        <w:t xml:space="preserve"> Overton v. Bazzetta, 539 U.S. 126, 132 (2003) ("We must accord substantial deference to the professional judgment of prison administrators, who bear a significant responsibility for defining the legitimate goals of a corrections system and for determining the most appropriate means to accomplish them").</w:t>
      </w:r>
    </w:p>
    <w:p w14:paraId="45AEA57E" w14:textId="77777777" w:rsidR="009417ED" w:rsidRPr="00452691" w:rsidRDefault="009417ED" w:rsidP="009417ED">
      <w:pPr>
        <w:spacing w:after="0"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Source URL:</w:t>
      </w:r>
      <w:r w:rsidRPr="00452691">
        <w:rPr>
          <w:rFonts w:ascii="Times New Roman" w:eastAsia="Times New Roman" w:hAnsi="Times New Roman" w:cs="Times New Roman"/>
          <w:color w:val="000000"/>
        </w:rPr>
        <w:t> https://www.aclu.org/know-your-rights/what-do-if-youre-prisoner-disabilities</w:t>
      </w:r>
    </w:p>
    <w:p w14:paraId="45AEA57F" w14:textId="77777777" w:rsidR="009417ED" w:rsidRPr="00DC5927" w:rsidRDefault="001D3C01" w:rsidP="009417ED">
      <w:pPr>
        <w:rPr>
          <w:rFonts w:ascii="Times New Roman" w:hAnsi="Times New Roman" w:cs="Times New Roman"/>
        </w:rPr>
      </w:pPr>
      <w:r>
        <w:rPr>
          <w:rFonts w:ascii="Times New Roman" w:eastAsia="Times New Roman" w:hAnsi="Times New Roman" w:cs="Times New Roman"/>
        </w:rPr>
        <w:pict w14:anchorId="45AEA581">
          <v:rect id="_x0000_i1025" style="width:987.75pt;height:.75pt" o:hrpct="0" o:hralign="center" o:hrstd="t" o:hrnoshade="t" o:hr="t" fillcolor="#9e9e9e" stroked="f"/>
        </w:pict>
      </w:r>
    </w:p>
    <w:p w14:paraId="45AEA580" w14:textId="77777777" w:rsidR="004A33EE" w:rsidRDefault="001D3C01"/>
    <w:sectPr w:rsidR="004A3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72"/>
    <w:rsid w:val="000B7872"/>
    <w:rsid w:val="00196121"/>
    <w:rsid w:val="001D3C01"/>
    <w:rsid w:val="007B38C6"/>
    <w:rsid w:val="009417ED"/>
    <w:rsid w:val="00A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EA559"/>
  <w15:chartTrackingRefBased/>
  <w15:docId w15:val="{BC18F720-FFB8-4EAD-B973-9A508462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17ED"/>
  </w:style>
  <w:style w:type="paragraph" w:styleId="Heading2">
    <w:name w:val="heading 2"/>
    <w:basedOn w:val="Normal"/>
    <w:link w:val="Heading2Char"/>
    <w:uiPriority w:val="9"/>
    <w:qFormat/>
    <w:rsid w:val="000B78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78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8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7872"/>
    <w:rPr>
      <w:rFonts w:ascii="Times New Roman" w:eastAsia="Times New Roman" w:hAnsi="Times New Roman" w:cs="Times New Roman"/>
      <w:b/>
      <w:bCs/>
      <w:sz w:val="27"/>
      <w:szCs w:val="27"/>
    </w:rPr>
  </w:style>
  <w:style w:type="character" w:styleId="Emphasis">
    <w:name w:val="Emphasis"/>
    <w:basedOn w:val="DefaultParagraphFont"/>
    <w:uiPriority w:val="20"/>
    <w:qFormat/>
    <w:rsid w:val="000B7872"/>
    <w:rPr>
      <w:i/>
      <w:iCs/>
    </w:rPr>
  </w:style>
  <w:style w:type="character" w:styleId="Hyperlink">
    <w:name w:val="Hyperlink"/>
    <w:basedOn w:val="DefaultParagraphFont"/>
    <w:uiPriority w:val="99"/>
    <w:semiHidden/>
    <w:unhideWhenUsed/>
    <w:rsid w:val="000B7872"/>
    <w:rPr>
      <w:color w:val="0000FF"/>
      <w:u w:val="single"/>
    </w:rPr>
  </w:style>
  <w:style w:type="character" w:customStyle="1" w:styleId="print-footnote">
    <w:name w:val="print-footnote"/>
    <w:basedOn w:val="DefaultParagraphFont"/>
    <w:rsid w:val="000B7872"/>
  </w:style>
  <w:style w:type="paragraph" w:styleId="NormalWeb">
    <w:name w:val="Normal (Web)"/>
    <w:basedOn w:val="Normal"/>
    <w:uiPriority w:val="99"/>
    <w:semiHidden/>
    <w:unhideWhenUsed/>
    <w:rsid w:val="000B78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9425">
      <w:bodyDiv w:val="1"/>
      <w:marLeft w:val="0"/>
      <w:marRight w:val="0"/>
      <w:marTop w:val="0"/>
      <w:marBottom w:val="0"/>
      <w:divBdr>
        <w:top w:val="none" w:sz="0" w:space="0" w:color="auto"/>
        <w:left w:val="none" w:sz="0" w:space="0" w:color="auto"/>
        <w:bottom w:val="none" w:sz="0" w:space="0" w:color="auto"/>
        <w:right w:val="none" w:sz="0" w:space="0" w:color="auto"/>
      </w:divBdr>
      <w:divsChild>
        <w:div w:id="254940431">
          <w:marLeft w:val="0"/>
          <w:marRight w:val="300"/>
          <w:marTop w:val="0"/>
          <w:marBottom w:val="300"/>
          <w:divBdr>
            <w:top w:val="none" w:sz="0" w:space="0" w:color="auto"/>
            <w:left w:val="none" w:sz="0" w:space="0" w:color="auto"/>
            <w:bottom w:val="none" w:sz="0" w:space="0" w:color="auto"/>
            <w:right w:val="none" w:sz="0" w:space="0" w:color="auto"/>
          </w:divBdr>
        </w:div>
        <w:div w:id="1579048428">
          <w:marLeft w:val="0"/>
          <w:marRight w:val="0"/>
          <w:marTop w:val="0"/>
          <w:marBottom w:val="0"/>
          <w:divBdr>
            <w:top w:val="none" w:sz="0" w:space="0" w:color="auto"/>
            <w:left w:val="none" w:sz="0" w:space="0" w:color="auto"/>
            <w:bottom w:val="none" w:sz="0" w:space="0" w:color="auto"/>
            <w:right w:val="none" w:sz="0" w:space="0" w:color="auto"/>
          </w:divBdr>
        </w:div>
        <w:div w:id="1910798227">
          <w:marLeft w:val="0"/>
          <w:marRight w:val="0"/>
          <w:marTop w:val="0"/>
          <w:marBottom w:val="0"/>
          <w:divBdr>
            <w:top w:val="none" w:sz="0" w:space="0" w:color="auto"/>
            <w:left w:val="none" w:sz="0" w:space="0" w:color="auto"/>
            <w:bottom w:val="none" w:sz="0" w:space="0" w:color="auto"/>
            <w:right w:val="none" w:sz="0" w:space="0" w:color="auto"/>
          </w:divBdr>
          <w:divsChild>
            <w:div w:id="1313557147">
              <w:marLeft w:val="0"/>
              <w:marRight w:val="0"/>
              <w:marTop w:val="0"/>
              <w:marBottom w:val="0"/>
              <w:divBdr>
                <w:top w:val="none" w:sz="0" w:space="0" w:color="auto"/>
                <w:left w:val="none" w:sz="0" w:space="0" w:color="auto"/>
                <w:bottom w:val="none" w:sz="0" w:space="0" w:color="auto"/>
                <w:right w:val="none" w:sz="0" w:space="0" w:color="auto"/>
              </w:divBdr>
            </w:div>
            <w:div w:id="1754085073">
              <w:marLeft w:val="0"/>
              <w:marRight w:val="0"/>
              <w:marTop w:val="0"/>
              <w:marBottom w:val="0"/>
              <w:divBdr>
                <w:top w:val="none" w:sz="0" w:space="0" w:color="auto"/>
                <w:left w:val="none" w:sz="0" w:space="0" w:color="auto"/>
                <w:bottom w:val="none" w:sz="0" w:space="0" w:color="auto"/>
                <w:right w:val="none" w:sz="0" w:space="0" w:color="auto"/>
              </w:divBdr>
              <w:divsChild>
                <w:div w:id="1300188969">
                  <w:marLeft w:val="0"/>
                  <w:marRight w:val="0"/>
                  <w:marTop w:val="0"/>
                  <w:marBottom w:val="0"/>
                  <w:divBdr>
                    <w:top w:val="none" w:sz="0" w:space="0" w:color="auto"/>
                    <w:left w:val="none" w:sz="0" w:space="0" w:color="auto"/>
                    <w:bottom w:val="none" w:sz="0" w:space="0" w:color="auto"/>
                    <w:right w:val="none" w:sz="0" w:space="0" w:color="auto"/>
                  </w:divBdr>
                </w:div>
              </w:divsChild>
            </w:div>
            <w:div w:id="537209436">
              <w:marLeft w:val="0"/>
              <w:marRight w:val="0"/>
              <w:marTop w:val="0"/>
              <w:marBottom w:val="0"/>
              <w:divBdr>
                <w:top w:val="none" w:sz="0" w:space="0" w:color="auto"/>
                <w:left w:val="none" w:sz="0" w:space="0" w:color="auto"/>
                <w:bottom w:val="none" w:sz="0" w:space="0" w:color="auto"/>
                <w:right w:val="none" w:sz="0" w:space="0" w:color="auto"/>
              </w:divBdr>
              <w:divsChild>
                <w:div w:id="2066098380">
                  <w:marLeft w:val="0"/>
                  <w:marRight w:val="0"/>
                  <w:marTop w:val="0"/>
                  <w:marBottom w:val="0"/>
                  <w:divBdr>
                    <w:top w:val="none" w:sz="0" w:space="0" w:color="auto"/>
                    <w:left w:val="none" w:sz="0" w:space="0" w:color="auto"/>
                    <w:bottom w:val="none" w:sz="0" w:space="0" w:color="auto"/>
                    <w:right w:val="none" w:sz="0" w:space="0" w:color="auto"/>
                  </w:divBdr>
                </w:div>
              </w:divsChild>
            </w:div>
            <w:div w:id="669872856">
              <w:marLeft w:val="0"/>
              <w:marRight w:val="0"/>
              <w:marTop w:val="0"/>
              <w:marBottom w:val="0"/>
              <w:divBdr>
                <w:top w:val="none" w:sz="0" w:space="0" w:color="auto"/>
                <w:left w:val="none" w:sz="0" w:space="0" w:color="auto"/>
                <w:bottom w:val="none" w:sz="0" w:space="0" w:color="auto"/>
                <w:right w:val="none" w:sz="0" w:space="0" w:color="auto"/>
              </w:divBdr>
              <w:divsChild>
                <w:div w:id="172502590">
                  <w:marLeft w:val="0"/>
                  <w:marRight w:val="0"/>
                  <w:marTop w:val="0"/>
                  <w:marBottom w:val="0"/>
                  <w:divBdr>
                    <w:top w:val="none" w:sz="0" w:space="0" w:color="auto"/>
                    <w:left w:val="none" w:sz="0" w:space="0" w:color="auto"/>
                    <w:bottom w:val="none" w:sz="0" w:space="0" w:color="auto"/>
                    <w:right w:val="none" w:sz="0" w:space="0" w:color="auto"/>
                  </w:divBdr>
                  <w:divsChild>
                    <w:div w:id="846749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865566">
              <w:marLeft w:val="0"/>
              <w:marRight w:val="0"/>
              <w:marTop w:val="0"/>
              <w:marBottom w:val="0"/>
              <w:divBdr>
                <w:top w:val="none" w:sz="0" w:space="0" w:color="auto"/>
                <w:left w:val="none" w:sz="0" w:space="0" w:color="auto"/>
                <w:bottom w:val="none" w:sz="0" w:space="0" w:color="auto"/>
                <w:right w:val="none" w:sz="0" w:space="0" w:color="auto"/>
              </w:divBdr>
              <w:divsChild>
                <w:div w:id="1788504712">
                  <w:marLeft w:val="0"/>
                  <w:marRight w:val="0"/>
                  <w:marTop w:val="0"/>
                  <w:marBottom w:val="0"/>
                  <w:divBdr>
                    <w:top w:val="none" w:sz="0" w:space="0" w:color="auto"/>
                    <w:left w:val="none" w:sz="0" w:space="0" w:color="auto"/>
                    <w:bottom w:val="none" w:sz="0" w:space="0" w:color="auto"/>
                    <w:right w:val="none" w:sz="0" w:space="0" w:color="auto"/>
                  </w:divBdr>
                </w:div>
              </w:divsChild>
            </w:div>
            <w:div w:id="1340279529">
              <w:marLeft w:val="0"/>
              <w:marRight w:val="0"/>
              <w:marTop w:val="0"/>
              <w:marBottom w:val="0"/>
              <w:divBdr>
                <w:top w:val="none" w:sz="0" w:space="0" w:color="auto"/>
                <w:left w:val="none" w:sz="0" w:space="0" w:color="auto"/>
                <w:bottom w:val="none" w:sz="0" w:space="0" w:color="auto"/>
                <w:right w:val="none" w:sz="0" w:space="0" w:color="auto"/>
              </w:divBdr>
              <w:divsChild>
                <w:div w:id="604001094">
                  <w:marLeft w:val="0"/>
                  <w:marRight w:val="0"/>
                  <w:marTop w:val="0"/>
                  <w:marBottom w:val="0"/>
                  <w:divBdr>
                    <w:top w:val="none" w:sz="0" w:space="0" w:color="auto"/>
                    <w:left w:val="none" w:sz="0" w:space="0" w:color="auto"/>
                    <w:bottom w:val="none" w:sz="0" w:space="0" w:color="auto"/>
                    <w:right w:val="none" w:sz="0" w:space="0" w:color="auto"/>
                  </w:divBdr>
                </w:div>
              </w:divsChild>
            </w:div>
            <w:div w:id="906108866">
              <w:marLeft w:val="0"/>
              <w:marRight w:val="0"/>
              <w:marTop w:val="0"/>
              <w:marBottom w:val="0"/>
              <w:divBdr>
                <w:top w:val="none" w:sz="0" w:space="0" w:color="auto"/>
                <w:left w:val="none" w:sz="0" w:space="0" w:color="auto"/>
                <w:bottom w:val="none" w:sz="0" w:space="0" w:color="auto"/>
                <w:right w:val="none" w:sz="0" w:space="0" w:color="auto"/>
              </w:divBdr>
              <w:divsChild>
                <w:div w:id="1964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3451">
          <w:marLeft w:val="0"/>
          <w:marRight w:val="0"/>
          <w:marTop w:val="0"/>
          <w:marBottom w:val="300"/>
          <w:divBdr>
            <w:top w:val="none" w:sz="0" w:space="0" w:color="auto"/>
            <w:left w:val="none" w:sz="0" w:space="0" w:color="auto"/>
            <w:bottom w:val="none" w:sz="0" w:space="0" w:color="auto"/>
            <w:right w:val="none" w:sz="0" w:space="0" w:color="auto"/>
          </w:divBdr>
        </w:div>
        <w:div w:id="1888108403">
          <w:marLeft w:val="0"/>
          <w:marRight w:val="0"/>
          <w:marTop w:val="0"/>
          <w:marBottom w:val="0"/>
          <w:divBdr>
            <w:top w:val="none" w:sz="0" w:space="0" w:color="auto"/>
            <w:left w:val="none" w:sz="0" w:space="0" w:color="auto"/>
            <w:bottom w:val="none" w:sz="0" w:space="0" w:color="auto"/>
            <w:right w:val="none" w:sz="0" w:space="0" w:color="auto"/>
          </w:divBdr>
        </w:div>
        <w:div w:id="126996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96D72FE1D8D4DADFE92D94F7D6C64" ma:contentTypeVersion="0" ma:contentTypeDescription="Create a new document." ma:contentTypeScope="" ma:versionID="ccbc26575ff1075ed9c1a2ec0f2588b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CA815-F765-4E56-BE0D-B18C7A81E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53BB32-2ECA-4527-8FA2-20E0B3240A0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02FD87-E526-46B1-A33C-48D090216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 Computer 2</dc:creator>
  <cp:keywords/>
  <dc:description/>
  <cp:lastModifiedBy>Stina Stannik</cp:lastModifiedBy>
  <cp:revision>4</cp:revision>
  <dcterms:created xsi:type="dcterms:W3CDTF">2019-01-31T22:08:00Z</dcterms:created>
  <dcterms:modified xsi:type="dcterms:W3CDTF">2020-07-01T16:31:00Z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0x010100CE696D72FE1D8D4DADFE92D94F7D6C64</vt:lpwstr>
  </property>
  <property fmtid="{D5CDD505-2E9C-101B-9397-08002B2CF9AE}" pid="3" name="Order">
    <vt:r8>230600</vt:r8>
  </property>
  <property fmtid="{D5CDD505-2E9C-101B-9397-08002B2CF9AE}" pid="4" name="ComplianceAssetId">
    <vt:lpwstr/>
  </property>
</Properties>
</file>